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Times New Roman" w:hAnsi="Times New Roman" w:eastAsia="方正小标宋简体" w:cs="Times New Roman"/>
          <w:color w:val="auto"/>
          <w:sz w:val="72"/>
          <w:szCs w:val="72"/>
          <w:highlight w:val="none"/>
          <w:lang w:val="en-US" w:eastAsia="zh-CN"/>
        </w:rPr>
      </w:pPr>
      <w:bookmarkStart w:id="0" w:name="_Toc15306267"/>
      <w:bookmarkStart w:id="151" w:name="_GoBack"/>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spacing w:line="600" w:lineRule="exact"/>
        <w:jc w:val="center"/>
        <w:outlineLvl w:val="9"/>
        <w:rPr>
          <w:rFonts w:hint="default" w:ascii="Times New Roman" w:hAnsi="Times New Roman" w:eastAsia="方正小标宋简体" w:cs="Times New Roman"/>
          <w:color w:val="auto"/>
          <w:sz w:val="72"/>
          <w:szCs w:val="72"/>
          <w:highlight w:val="none"/>
        </w:rPr>
      </w:pPr>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1" w:name="_Toc15378441"/>
      <w:bookmarkStart w:id="2" w:name="_Toc5735"/>
      <w:bookmarkStart w:id="3" w:name="_Toc15377425"/>
      <w:bookmarkStart w:id="4" w:name="_Toc15396475"/>
      <w:bookmarkStart w:id="5" w:name="_Toc15396597"/>
      <w:bookmarkStart w:id="6" w:name="_Toc15377193"/>
      <w:bookmarkStart w:id="7" w:name="_Toc25652"/>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21</w:t>
      </w:r>
      <w:r>
        <w:rPr>
          <w:rFonts w:hint="default" w:ascii="Times New Roman" w:hAnsi="Times New Roman" w:eastAsia="方正小标宋简体" w:cs="Times New Roman"/>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lang w:eastAsia="zh-CN"/>
        </w:rPr>
      </w:pPr>
      <w:bookmarkStart w:id="8" w:name="_Toc26077"/>
      <w:bookmarkStart w:id="9" w:name="_Toc15377194"/>
      <w:bookmarkStart w:id="10" w:name="_Toc15396598"/>
      <w:bookmarkStart w:id="11" w:name="_Toc15396476"/>
      <w:bookmarkStart w:id="12" w:name="_Toc15377426"/>
      <w:bookmarkStart w:id="13" w:name="_Toc15378442"/>
      <w:bookmarkStart w:id="14" w:name="_Toc9967"/>
      <w:r>
        <w:rPr>
          <w:rFonts w:hint="default" w:ascii="Times New Roman" w:hAnsi="Times New Roman" w:eastAsia="方正小标宋简体" w:cs="Times New Roman"/>
          <w:color w:val="auto"/>
          <w:sz w:val="72"/>
          <w:szCs w:val="72"/>
          <w:highlight w:val="none"/>
        </w:rPr>
        <w:t>四川省</w:t>
      </w:r>
      <w:bookmarkEnd w:id="0"/>
      <w:bookmarkStart w:id="15" w:name="_Toc15306268"/>
      <w:r>
        <w:rPr>
          <w:rFonts w:hint="default" w:ascii="Times New Roman" w:hAnsi="Times New Roman" w:eastAsia="方正小标宋简体" w:cs="Times New Roman"/>
          <w:color w:val="auto"/>
          <w:sz w:val="72"/>
          <w:szCs w:val="72"/>
          <w:highlight w:val="none"/>
          <w:lang w:eastAsia="zh-CN"/>
        </w:rPr>
        <w:t>广元市昭化区</w:t>
      </w:r>
      <w:bookmarkEnd w:id="8"/>
    </w:p>
    <w:p>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16" w:name="_Toc2229"/>
      <w:r>
        <w:rPr>
          <w:rFonts w:hint="default" w:ascii="Times New Roman" w:hAnsi="Times New Roman" w:eastAsia="方正小标宋简体" w:cs="Times New Roman"/>
          <w:color w:val="auto"/>
          <w:sz w:val="72"/>
          <w:szCs w:val="72"/>
          <w:highlight w:val="none"/>
          <w:lang w:eastAsia="zh-CN"/>
        </w:rPr>
        <w:t>机关事务服务中心</w:t>
      </w:r>
      <w:r>
        <w:rPr>
          <w:rFonts w:hint="default" w:ascii="Times New Roman" w:hAnsi="Times New Roman" w:eastAsia="方正小标宋简体" w:cs="Times New Roman"/>
          <w:color w:val="auto"/>
          <w:sz w:val="72"/>
          <w:szCs w:val="72"/>
          <w:highlight w:val="none"/>
          <w:lang w:val="en-US" w:eastAsia="zh-CN"/>
        </w:rPr>
        <w:t>单位</w:t>
      </w:r>
      <w:r>
        <w:rPr>
          <w:rFonts w:hint="default" w:ascii="Times New Roman" w:hAnsi="Times New Roman" w:eastAsia="方正小标宋简体" w:cs="Times New Roman"/>
          <w:color w:val="auto"/>
          <w:sz w:val="72"/>
          <w:szCs w:val="72"/>
          <w:highlight w:val="none"/>
          <w:lang w:eastAsia="zh-CN"/>
        </w:rPr>
        <w:t>决算</w:t>
      </w:r>
      <w:bookmarkEnd w:id="9"/>
      <w:bookmarkEnd w:id="10"/>
      <w:bookmarkEnd w:id="11"/>
      <w:bookmarkEnd w:id="12"/>
      <w:bookmarkEnd w:id="13"/>
      <w:bookmarkEnd w:id="14"/>
      <w:bookmarkEnd w:id="15"/>
      <w:bookmarkEnd w:id="16"/>
    </w:p>
    <w:p>
      <w:pPr>
        <w:adjustRightInd w:val="0"/>
        <w:snapToGrid w:val="0"/>
        <w:spacing w:line="360" w:lineRule="auto"/>
        <w:jc w:val="center"/>
        <w:outlineLvl w:val="9"/>
        <w:rPr>
          <w:rFonts w:hint="default" w:ascii="Times New Roman" w:hAnsi="Times New Roman" w:eastAsia="方正小标宋简体" w:cs="Times New Roman"/>
          <w:color w:val="auto"/>
          <w:sz w:val="52"/>
          <w:szCs w:val="52"/>
          <w:highlight w:val="none"/>
        </w:rPr>
      </w:pPr>
    </w:p>
    <w:p>
      <w:pPr>
        <w:widowControl/>
        <w:jc w:val="center"/>
        <w:rPr>
          <w:rFonts w:hint="default" w:ascii="Times New Roman" w:hAnsi="Times New Roman" w:eastAsia="黑体" w:cs="Times New Roman"/>
          <w:color w:val="auto"/>
          <w:sz w:val="48"/>
          <w:szCs w:val="48"/>
          <w:highlight w:val="none"/>
        </w:rPr>
      </w:pPr>
    </w:p>
    <w:p>
      <w:pPr>
        <w:pStyle w:val="2"/>
        <w:rPr>
          <w:rFonts w:hint="default" w:ascii="Times New Roman" w:hAnsi="Times New Roman" w:eastAsia="黑体" w:cs="Times New Roman"/>
          <w:color w:val="auto"/>
          <w:sz w:val="48"/>
          <w:szCs w:val="48"/>
          <w:highlight w:val="none"/>
        </w:rPr>
      </w:pPr>
    </w:p>
    <w:p>
      <w:pPr>
        <w:pStyle w:val="2"/>
        <w:rPr>
          <w:rFonts w:hint="default" w:ascii="Times New Roman" w:hAnsi="Times New Roman" w:eastAsia="黑体" w:cs="Times New Roman"/>
          <w:color w:val="auto"/>
          <w:sz w:val="48"/>
          <w:szCs w:val="48"/>
          <w:highlight w:val="none"/>
        </w:rPr>
      </w:pPr>
    </w:p>
    <w:p>
      <w:pPr>
        <w:pStyle w:val="2"/>
        <w:rPr>
          <w:rFonts w:hint="default" w:ascii="Times New Roman" w:hAnsi="Times New Roman" w:eastAsia="黑体" w:cs="Times New Roman"/>
          <w:color w:val="auto"/>
          <w:sz w:val="48"/>
          <w:szCs w:val="48"/>
          <w:highlight w:val="none"/>
        </w:rPr>
      </w:pPr>
    </w:p>
    <w:p>
      <w:pPr>
        <w:pStyle w:val="2"/>
        <w:rPr>
          <w:rFonts w:hint="default" w:ascii="Times New Roman" w:hAnsi="Times New Roman" w:eastAsia="黑体" w:cs="Times New Roman"/>
          <w:color w:val="auto"/>
          <w:sz w:val="48"/>
          <w:szCs w:val="48"/>
          <w:highlight w:val="none"/>
        </w:rPr>
      </w:pPr>
    </w:p>
    <w:p>
      <w:pPr>
        <w:pStyle w:val="2"/>
        <w:rPr>
          <w:rFonts w:hint="default" w:ascii="Times New Roman" w:hAnsi="Times New Roman" w:eastAsia="黑体" w:cs="Times New Roman"/>
          <w:color w:val="auto"/>
          <w:sz w:val="48"/>
          <w:szCs w:val="48"/>
          <w:highlight w:val="none"/>
        </w:rPr>
        <w:sectPr>
          <w:headerReference r:id="rId3" w:type="default"/>
          <w:footerReference r:id="rId4" w:type="default"/>
          <w:pgSz w:w="11906" w:h="16838"/>
          <w:pgMar w:top="1440" w:right="1587" w:bottom="1440" w:left="1587" w:header="851" w:footer="992" w:gutter="0"/>
          <w:pgNumType w:start="1"/>
          <w:cols w:space="0" w:num="1"/>
          <w:titlePg/>
          <w:rtlGutter w:val="0"/>
          <w:docGrid w:type="lines" w:linePitch="312" w:charSpace="0"/>
        </w:sectPr>
      </w:pPr>
    </w:p>
    <w:p>
      <w:pPr>
        <w:pStyle w:val="8"/>
        <w:keepNext w:val="0"/>
        <w:keepLines w:val="0"/>
        <w:pageBreakBefore w:val="0"/>
        <w:widowControl w:val="0"/>
        <w:tabs>
          <w:tab w:val="right" w:leader="dot" w:pos="8306"/>
          <w:tab w:val="clear" w:pos="8296"/>
        </w:tabs>
        <w:kinsoku/>
        <w:wordWrap/>
        <w:overflowPunct/>
        <w:topLinePunct w:val="0"/>
        <w:bidi w:val="0"/>
        <w:snapToGrid/>
        <w:spacing w:before="0" w:line="576" w:lineRule="exact"/>
        <w:ind w:left="0" w:leftChars="0"/>
        <w:textAlignment w:val="auto"/>
        <w:rPr>
          <w:rFonts w:hint="default" w:ascii="Times New Roman" w:hAnsi="Times New Roman" w:eastAsia="黑体" w:cs="Times New Roman"/>
          <w:color w:val="auto"/>
          <w:sz w:val="48"/>
          <w:szCs w:val="48"/>
          <w:highlight w:val="none"/>
          <w:lang w:val="en-US" w:eastAsia="zh-CN"/>
        </w:rPr>
      </w:pPr>
    </w:p>
    <w:p>
      <w:pPr>
        <w:pStyle w:val="8"/>
        <w:keepNext w:val="0"/>
        <w:keepLines w:val="0"/>
        <w:pageBreakBefore w:val="0"/>
        <w:widowControl w:val="0"/>
        <w:tabs>
          <w:tab w:val="right" w:leader="dot" w:pos="8306"/>
          <w:tab w:val="clear" w:pos="8296"/>
        </w:tabs>
        <w:kinsoku/>
        <w:wordWrap/>
        <w:overflowPunct/>
        <w:topLinePunct w:val="0"/>
        <w:bidi w:val="0"/>
        <w:snapToGrid/>
        <w:spacing w:before="0" w:line="576" w:lineRule="exact"/>
        <w:ind w:left="0" w:leftChars="0"/>
        <w:textAlignment w:val="auto"/>
        <w:rPr>
          <w:rFonts w:hint="default" w:ascii="Times New Roman" w:hAnsi="Times New Roman" w:cs="Times New Roman"/>
          <w:sz w:val="24"/>
          <w:szCs w:val="24"/>
        </w:rPr>
      </w:pPr>
      <w:r>
        <w:rPr>
          <w:rFonts w:hint="default" w:ascii="Times New Roman" w:hAnsi="Times New Roman" w:eastAsia="黑体" w:cs="Times New Roman"/>
          <w:color w:val="auto"/>
          <w:sz w:val="24"/>
          <w:szCs w:val="24"/>
          <w:highlight w:val="none"/>
        </w:rPr>
        <w:fldChar w:fldCharType="begin"/>
      </w:r>
      <w:r>
        <w:rPr>
          <w:rFonts w:hint="default" w:ascii="Times New Roman" w:hAnsi="Times New Roman" w:eastAsia="黑体" w:cs="Times New Roman"/>
          <w:color w:val="auto"/>
          <w:sz w:val="24"/>
          <w:szCs w:val="24"/>
          <w:highlight w:val="none"/>
        </w:rPr>
        <w:instrText xml:space="preserve">TOC \o "1-2" \h \u </w:instrText>
      </w:r>
      <w:r>
        <w:rPr>
          <w:rFonts w:hint="default" w:ascii="Times New Roman" w:hAnsi="Times New Roman" w:eastAsia="黑体" w:cs="Times New Roman"/>
          <w:color w:val="auto"/>
          <w:sz w:val="24"/>
          <w:szCs w:val="24"/>
          <w:highlight w:val="none"/>
        </w:rPr>
        <w:fldChar w:fldCharType="separate"/>
      </w:r>
    </w:p>
    <w:sdt>
      <w:sdtPr>
        <w:rPr>
          <w:rFonts w:hint="default" w:ascii="Times New Roman" w:hAnsi="Times New Roman" w:eastAsia="方正小标宋简体" w:cs="Times New Roman"/>
          <w:kern w:val="2"/>
          <w:sz w:val="40"/>
          <w:szCs w:val="40"/>
          <w:lang w:val="en-US" w:eastAsia="zh-CN" w:bidi="ar-SA"/>
        </w:rPr>
        <w:id w:val="147466228"/>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目</w:t>
          </w:r>
          <w:r>
            <w:rPr>
              <w:rFonts w:hint="default" w:ascii="Times New Roman" w:hAnsi="Times New Roman" w:eastAsia="方正小标宋简体" w:cs="Times New Roman"/>
              <w:sz w:val="40"/>
              <w:szCs w:val="40"/>
              <w:lang w:val="en-US" w:eastAsia="zh-CN"/>
            </w:rPr>
            <w:t xml:space="preserve">         </w:t>
          </w:r>
          <w:r>
            <w:rPr>
              <w:rFonts w:hint="default" w:ascii="Times New Roman" w:hAnsi="Times New Roman" w:eastAsia="方正小标宋简体" w:cs="Times New Roman"/>
              <w:sz w:val="40"/>
              <w:szCs w:val="40"/>
            </w:rPr>
            <w:t>录</w:t>
          </w:r>
        </w:p>
        <w:p>
          <w:pPr>
            <w:pStyle w:val="2"/>
            <w:rPr>
              <w:rFonts w:hint="default" w:ascii="Times New Roman" w:hAnsi="Times New Roman" w:cs="Times New Roman"/>
            </w:rPr>
          </w:pP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_Toc2088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44"/>
              <w:highlight w:val="none"/>
            </w:rPr>
            <w:t xml:space="preserve">第一部分 </w:t>
          </w:r>
          <w:r>
            <w:rPr>
              <w:rFonts w:hint="default" w:ascii="Times New Roman" w:hAnsi="Times New Roman" w:eastAsia="黑体" w:cs="Times New Roman"/>
              <w:b/>
              <w:szCs w:val="44"/>
              <w:highlight w:val="none"/>
              <w:lang w:eastAsia="zh-CN"/>
            </w:rPr>
            <w:t>单位</w:t>
          </w:r>
          <w:r>
            <w:rPr>
              <w:rFonts w:hint="default" w:ascii="Times New Roman" w:hAnsi="Times New Roman" w:eastAsia="黑体" w:cs="Times New Roman"/>
              <w:b/>
              <w:bCs w:val="0"/>
              <w:szCs w:val="44"/>
              <w:highlight w:val="none"/>
            </w:rPr>
            <w:t>概况</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_Toc2088 \h </w:instrText>
          </w:r>
          <w:r>
            <w:rPr>
              <w:rFonts w:hint="default" w:ascii="Times New Roman" w:hAnsi="Times New Roman" w:cs="Times New Roman"/>
              <w:b/>
            </w:rPr>
            <w:fldChar w:fldCharType="separate"/>
          </w:r>
          <w:r>
            <w:rPr>
              <w:rFonts w:hint="default" w:ascii="Times New Roman" w:hAnsi="Times New Roman" w:cs="Times New Roman"/>
              <w:b/>
            </w:rPr>
            <w:t>1</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_Toc29578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val="0"/>
              <w:highlight w:val="none"/>
              <w:lang w:val="en-US" w:eastAsia="zh-CN"/>
            </w:rPr>
            <w:t>一、</w:t>
          </w:r>
          <w:r>
            <w:rPr>
              <w:rFonts w:hint="default" w:ascii="Times New Roman" w:hAnsi="Times New Roman" w:eastAsia="黑体" w:cs="Times New Roman"/>
              <w:bCs w:val="0"/>
              <w:highlight w:val="none"/>
            </w:rPr>
            <w:t>职能</w:t>
          </w:r>
          <w:r>
            <w:rPr>
              <w:rFonts w:hint="default" w:ascii="Times New Roman" w:hAnsi="Times New Roman" w:eastAsia="黑体" w:cs="Times New Roman"/>
              <w:bCs w:val="0"/>
              <w:highlight w:val="none"/>
              <w:lang w:eastAsia="zh-CN"/>
            </w:rPr>
            <w:t>简介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_Toc29578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_Toc20263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highlight w:val="none"/>
              <w:lang w:val="en-US" w:eastAsia="zh-CN"/>
            </w:rPr>
            <w:t>二、2021年重点</w:t>
          </w:r>
          <w:r>
            <w:rPr>
              <w:rFonts w:hint="default" w:ascii="Times New Roman" w:hAnsi="Times New Roman" w:eastAsia="黑体" w:cs="Times New Roman"/>
              <w:highlight w:val="none"/>
            </w:rPr>
            <w:t>工作</w:t>
          </w:r>
          <w:r>
            <w:rPr>
              <w:rFonts w:hint="default" w:ascii="Times New Roman" w:hAnsi="Times New Roman" w:eastAsia="黑体" w:cs="Times New Roman"/>
              <w:highlight w:val="none"/>
              <w:lang w:eastAsia="zh-CN"/>
            </w:rPr>
            <w:t>完成情况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_Toc20263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_Toc4665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bCs/>
              <w:highlight w:val="none"/>
            </w:rPr>
            <w:t xml:space="preserve">第二部分 </w:t>
          </w:r>
          <w:r>
            <w:rPr>
              <w:rFonts w:hint="default" w:ascii="Times New Roman" w:hAnsi="Times New Roman" w:eastAsia="黑体" w:cs="Times New Roman"/>
              <w:b/>
              <w:bCs/>
              <w:highlight w:val="none"/>
              <w:lang w:val="en-US" w:eastAsia="zh-CN"/>
            </w:rPr>
            <w:t>2021年度</w:t>
          </w:r>
          <w:r>
            <w:rPr>
              <w:rFonts w:hint="default" w:ascii="Times New Roman" w:hAnsi="Times New Roman" w:eastAsia="黑体" w:cs="Times New Roman"/>
              <w:b/>
              <w:bCs/>
              <w:highlight w:val="none"/>
              <w:lang w:eastAsia="zh-CN"/>
            </w:rPr>
            <w:t>单位</w:t>
          </w:r>
          <w:r>
            <w:rPr>
              <w:rFonts w:hint="default" w:ascii="Times New Roman" w:hAnsi="Times New Roman" w:eastAsia="黑体" w:cs="Times New Roman"/>
              <w:b/>
              <w:bCs/>
              <w:highlight w:val="none"/>
            </w:rPr>
            <w:t>决算情况说明</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_Toc4665 \h </w:instrText>
          </w:r>
          <w:r>
            <w:rPr>
              <w:rFonts w:hint="default" w:ascii="Times New Roman" w:hAnsi="Times New Roman" w:cs="Times New Roman"/>
              <w:b/>
            </w:rPr>
            <w:fldChar w:fldCharType="separate"/>
          </w:r>
          <w:r>
            <w:rPr>
              <w:rFonts w:hint="default" w:ascii="Times New Roman" w:hAnsi="Times New Roman" w:cs="Times New Roman"/>
              <w:b/>
            </w:rPr>
            <w:t>5</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_Toc31158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lang w:val="en-US" w:eastAsia="zh-CN"/>
            </w:rPr>
            <w:t>一、</w:t>
          </w:r>
          <w:r>
            <w:rPr>
              <w:rFonts w:hint="default" w:ascii="Times New Roman" w:hAnsi="Times New Roman" w:eastAsia="黑体" w:cs="Times New Roman"/>
              <w:szCs w:val="32"/>
              <w:highlight w:val="none"/>
            </w:rPr>
            <w:t>收</w:t>
          </w:r>
          <w:r>
            <w:rPr>
              <w:rFonts w:hint="default" w:ascii="Times New Roman" w:hAnsi="Times New Roman" w:eastAsia="黑体" w:cs="Times New Roman"/>
              <w:highlight w:val="none"/>
            </w:rPr>
            <w:t>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_Toc31158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_Toc22999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lang w:val="en-US" w:eastAsia="zh-CN"/>
            </w:rPr>
            <w:t>二、</w:t>
          </w:r>
          <w:r>
            <w:rPr>
              <w:rFonts w:hint="default" w:ascii="Times New Roman" w:hAnsi="Times New Roman" w:eastAsia="黑体" w:cs="Times New Roman"/>
              <w:szCs w:val="32"/>
              <w:highlight w:val="none"/>
            </w:rPr>
            <w:t>收</w:t>
          </w:r>
          <w:r>
            <w:rPr>
              <w:rFonts w:hint="default" w:ascii="Times New Roman" w:hAnsi="Times New Roman" w:eastAsia="黑体" w:cs="Times New Roman"/>
              <w:highlight w:val="none"/>
            </w:rPr>
            <w:t>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_Toc22999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_Toc32278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lang w:val="en-US" w:eastAsia="zh-CN"/>
            </w:rPr>
            <w:t>三、</w:t>
          </w:r>
          <w:r>
            <w:rPr>
              <w:rFonts w:hint="default" w:ascii="Times New Roman" w:hAnsi="Times New Roman" w:eastAsia="黑体" w:cs="Times New Roman"/>
              <w:szCs w:val="32"/>
              <w:highlight w:val="none"/>
            </w:rPr>
            <w:t>支</w:t>
          </w:r>
          <w:r>
            <w:rPr>
              <w:rFonts w:hint="default" w:ascii="Times New Roman" w:hAnsi="Times New Roman" w:eastAsia="黑体" w:cs="Times New Roman"/>
              <w:highlight w:val="none"/>
            </w:rPr>
            <w:t>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_Toc32278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_Toc13747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rPr>
            <w:t>四、财</w:t>
          </w:r>
          <w:r>
            <w:rPr>
              <w:rFonts w:hint="default" w:ascii="Times New Roman" w:hAnsi="Times New Roman" w:eastAsia="黑体" w:cs="Times New Roman"/>
              <w:highlight w:val="none"/>
            </w:rPr>
            <w:t>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_Toc13747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_Toc9408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rPr>
            <w:t>五、一</w:t>
          </w:r>
          <w:r>
            <w:rPr>
              <w:rFonts w:hint="default" w:ascii="Times New Roman" w:hAnsi="Times New Roman" w:eastAsia="黑体" w:cs="Times New Roman"/>
              <w:highlight w:val="none"/>
            </w:rPr>
            <w:t>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_Toc9408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_Toc32559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rPr>
            <w:t>六、</w:t>
          </w:r>
          <w:r>
            <w:rPr>
              <w:rFonts w:hint="default" w:ascii="Times New Roman" w:hAnsi="Times New Roman" w:eastAsia="黑体" w:cs="Times New Roman"/>
              <w:szCs w:val="32"/>
              <w:highlight w:val="none"/>
            </w:rPr>
            <w:t>一</w:t>
          </w:r>
          <w:r>
            <w:rPr>
              <w:rFonts w:hint="default" w:ascii="Times New Roman" w:hAnsi="Times New Roman" w:eastAsia="黑体" w:cs="Times New Roman"/>
              <w:highlight w:val="none"/>
            </w:rPr>
            <w:t>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_Toc32559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_Toc13960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rPr>
            <w:t>七、</w:t>
          </w:r>
          <w:r>
            <w:rPr>
              <w:rFonts w:hint="default" w:ascii="Times New Roman" w:hAnsi="Times New Roman" w:eastAsia="黑体" w:cs="Times New Roman"/>
              <w:highlight w:val="none"/>
            </w:rPr>
            <w:t>“三公”经费财政拨款支出决算情况说明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_Toc13960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_Toc31406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rPr>
            <w:t>八、</w:t>
          </w:r>
          <w:r>
            <w:rPr>
              <w:rFonts w:hint="default" w:ascii="Times New Roman" w:hAnsi="Times New Roman" w:eastAsia="黑体" w:cs="Times New Roman"/>
              <w:highlight w:val="none"/>
            </w:rPr>
            <w:t>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_Toc31406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_Toc27610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rPr>
            <w:t xml:space="preserve">九、 </w:t>
          </w:r>
          <w:r>
            <w:rPr>
              <w:rFonts w:hint="default" w:ascii="Times New Roman" w:hAnsi="Times New Roman" w:eastAsia="黑体" w:cs="Times New Roman"/>
              <w:highlight w:val="none"/>
            </w:rPr>
            <w:t>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_Toc27610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_Toc10992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rPr>
            <w:t xml:space="preserve">十、 </w:t>
          </w:r>
          <w:r>
            <w:rPr>
              <w:rFonts w:hint="default" w:ascii="Times New Roman" w:hAnsi="Times New Roman" w:eastAsia="黑体" w:cs="Times New Roman"/>
              <w:highlight w:val="none"/>
              <w:lang w:val="en-US" w:eastAsia="zh-CN"/>
            </w:rPr>
            <w:t>预算绩效管理情况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_Toc10992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_Toc5004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rPr>
            <w:t xml:space="preserve">十一、 </w:t>
          </w:r>
          <w:r>
            <w:rPr>
              <w:rFonts w:hint="default" w:ascii="Times New Roman" w:hAnsi="Times New Roman" w:eastAsia="黑体" w:cs="Times New Roman"/>
              <w:highlight w:val="none"/>
            </w:rPr>
            <w:t>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_Toc5004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_Toc3856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44"/>
              <w:highlight w:val="none"/>
              <w:lang w:val="en-US" w:eastAsia="zh-CN"/>
            </w:rPr>
            <w:t xml:space="preserve">第三部分 </w:t>
          </w:r>
          <w:r>
            <w:rPr>
              <w:rFonts w:hint="default" w:ascii="Times New Roman" w:hAnsi="Times New Roman" w:eastAsia="黑体" w:cs="Times New Roman"/>
              <w:b/>
              <w:szCs w:val="44"/>
              <w:highlight w:val="none"/>
            </w:rPr>
            <w:t>名</w:t>
          </w:r>
          <w:r>
            <w:rPr>
              <w:rFonts w:hint="default" w:ascii="Times New Roman" w:hAnsi="Times New Roman" w:eastAsia="黑体" w:cs="Times New Roman"/>
              <w:b/>
              <w:highlight w:val="none"/>
            </w:rPr>
            <w:t>词解释</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_Toc3856 \h </w:instrText>
          </w:r>
          <w:r>
            <w:rPr>
              <w:rFonts w:hint="default" w:ascii="Times New Roman" w:hAnsi="Times New Roman" w:cs="Times New Roman"/>
              <w:b/>
            </w:rPr>
            <w:fldChar w:fldCharType="separate"/>
          </w:r>
          <w:r>
            <w:rPr>
              <w:rFonts w:hint="default" w:ascii="Times New Roman" w:hAnsi="Times New Roman" w:cs="Times New Roman"/>
              <w:b/>
            </w:rPr>
            <w:t>14</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_Toc18346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44"/>
              <w:highlight w:val="none"/>
            </w:rPr>
            <w:t>第</w:t>
          </w:r>
          <w:r>
            <w:rPr>
              <w:rFonts w:hint="default" w:ascii="Times New Roman" w:hAnsi="Times New Roman" w:eastAsia="黑体" w:cs="Times New Roman"/>
              <w:b/>
              <w:highlight w:val="none"/>
            </w:rPr>
            <w:t>四部分 附件</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_Toc18346 \h </w:instrText>
          </w:r>
          <w:r>
            <w:rPr>
              <w:rFonts w:hint="default" w:ascii="Times New Roman" w:hAnsi="Times New Roman" w:cs="Times New Roman"/>
              <w:b/>
            </w:rPr>
            <w:fldChar w:fldCharType="separate"/>
          </w:r>
          <w:r>
            <w:rPr>
              <w:rFonts w:hint="default" w:ascii="Times New Roman" w:hAnsi="Times New Roman" w:cs="Times New Roman"/>
              <w:b/>
            </w:rPr>
            <w:t>18</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9"/>
            <w:tabs>
              <w:tab w:val="right" w:leader="dot" w:pos="8306"/>
            </w:tabs>
            <w:ind w:left="0" w:leftChars="0" w:firstLine="0" w:firstLineChars="0"/>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_Toc31452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szCs w:val="32"/>
              <w:highlight w:val="none"/>
            </w:rPr>
            <w:t>附件</w:t>
          </w:r>
          <w:r>
            <w:rPr>
              <w:rFonts w:hint="default" w:ascii="Times New Roman" w:hAnsi="Times New Roman" w:eastAsia="黑体" w:cs="Times New Roman"/>
              <w:szCs w:val="32"/>
              <w:highlight w:val="none"/>
              <w:lang w:val="en-US" w:eastAsia="zh-CN"/>
            </w:rPr>
            <w:t>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_Toc31452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_Toc28403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32"/>
              <w:highlight w:val="none"/>
            </w:rPr>
            <w:t>附件</w:t>
          </w:r>
          <w:r>
            <w:rPr>
              <w:rFonts w:hint="default" w:ascii="Times New Roman" w:hAnsi="Times New Roman" w:eastAsia="黑体" w:cs="Times New Roman"/>
              <w:b/>
              <w:szCs w:val="32"/>
              <w:highlight w:val="none"/>
              <w:lang w:val="en-US" w:eastAsia="zh-CN"/>
            </w:rPr>
            <w:t>2</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_Toc28403 \h </w:instrText>
          </w:r>
          <w:r>
            <w:rPr>
              <w:rFonts w:hint="default" w:ascii="Times New Roman" w:hAnsi="Times New Roman" w:cs="Times New Roman"/>
              <w:b/>
            </w:rPr>
            <w:fldChar w:fldCharType="separate"/>
          </w:r>
          <w:r>
            <w:rPr>
              <w:rFonts w:hint="default" w:ascii="Times New Roman" w:hAnsi="Times New Roman" w:cs="Times New Roman"/>
              <w:b/>
            </w:rPr>
            <w:t>19</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_Toc15259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32"/>
              <w:highlight w:val="none"/>
            </w:rPr>
            <w:t>附件</w:t>
          </w:r>
          <w:r>
            <w:rPr>
              <w:rFonts w:hint="default" w:ascii="Times New Roman" w:hAnsi="Times New Roman" w:eastAsia="黑体" w:cs="Times New Roman"/>
              <w:b/>
              <w:szCs w:val="32"/>
              <w:highlight w:val="none"/>
              <w:lang w:val="en-US" w:eastAsia="zh-CN"/>
            </w:rPr>
            <w:t>3</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_Toc15259 \h </w:instrText>
          </w:r>
          <w:r>
            <w:rPr>
              <w:rFonts w:hint="default" w:ascii="Times New Roman" w:hAnsi="Times New Roman" w:cs="Times New Roman"/>
              <w:b/>
            </w:rPr>
            <w:fldChar w:fldCharType="separate"/>
          </w:r>
          <w:r>
            <w:rPr>
              <w:rFonts w:hint="default" w:ascii="Times New Roman" w:hAnsi="Times New Roman" w:cs="Times New Roman"/>
              <w:b/>
            </w:rPr>
            <w:t>20</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_Toc9484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32"/>
              <w:highlight w:val="none"/>
            </w:rPr>
            <w:t>附件</w:t>
          </w:r>
          <w:r>
            <w:rPr>
              <w:rFonts w:hint="default" w:ascii="Times New Roman" w:hAnsi="Times New Roman" w:eastAsia="黑体" w:cs="Times New Roman"/>
              <w:b/>
              <w:szCs w:val="32"/>
              <w:highlight w:val="none"/>
              <w:lang w:val="en-US" w:eastAsia="zh-CN"/>
            </w:rPr>
            <w:t>4</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_Toc9484 \h </w:instrText>
          </w:r>
          <w:r>
            <w:rPr>
              <w:rFonts w:hint="default" w:ascii="Times New Roman" w:hAnsi="Times New Roman" w:cs="Times New Roman"/>
              <w:b/>
            </w:rPr>
            <w:fldChar w:fldCharType="separate"/>
          </w:r>
          <w:r>
            <w:rPr>
              <w:rFonts w:hint="default" w:ascii="Times New Roman" w:hAnsi="Times New Roman" w:cs="Times New Roman"/>
              <w:b/>
            </w:rPr>
            <w:t>21</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_Toc23532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32"/>
              <w:highlight w:val="none"/>
            </w:rPr>
            <w:t>附件</w:t>
          </w:r>
          <w:r>
            <w:rPr>
              <w:rFonts w:hint="default" w:ascii="Times New Roman" w:hAnsi="Times New Roman" w:eastAsia="黑体" w:cs="Times New Roman"/>
              <w:b/>
              <w:szCs w:val="32"/>
              <w:highlight w:val="none"/>
              <w:lang w:val="en-US" w:eastAsia="zh-CN"/>
            </w:rPr>
            <w:t>5</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_Toc23532 \h </w:instrText>
          </w:r>
          <w:r>
            <w:rPr>
              <w:rFonts w:hint="default" w:ascii="Times New Roman" w:hAnsi="Times New Roman" w:cs="Times New Roman"/>
              <w:b/>
            </w:rPr>
            <w:fldChar w:fldCharType="separate"/>
          </w:r>
          <w:r>
            <w:rPr>
              <w:rFonts w:hint="default" w:ascii="Times New Roman" w:hAnsi="Times New Roman" w:cs="Times New Roman"/>
              <w:b/>
            </w:rPr>
            <w:t>23</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8"/>
            <w:tabs>
              <w:tab w:val="right" w:leader="dot" w:pos="8306"/>
            </w:tabs>
            <w:rPr>
              <w:rFonts w:hint="default" w:ascii="Times New Roman" w:hAnsi="Times New Roman" w:cs="Times New Roman"/>
              <w:b/>
            </w:rPr>
          </w:pPr>
          <w:r>
            <w:rPr>
              <w:rFonts w:hint="default" w:ascii="Times New Roman" w:hAnsi="Times New Roman" w:eastAsia="宋体" w:cs="Times New Roman"/>
              <w:b/>
              <w:szCs w:val="24"/>
            </w:rPr>
            <w:fldChar w:fldCharType="begin"/>
          </w:r>
          <w:r>
            <w:rPr>
              <w:rFonts w:hint="default" w:ascii="Times New Roman" w:hAnsi="Times New Roman" w:eastAsia="宋体" w:cs="Times New Roman"/>
              <w:b/>
              <w:szCs w:val="24"/>
            </w:rPr>
            <w:instrText xml:space="preserve"> HYPERLINK \l _Toc31074 </w:instrText>
          </w:r>
          <w:r>
            <w:rPr>
              <w:rFonts w:hint="default" w:ascii="Times New Roman" w:hAnsi="Times New Roman" w:eastAsia="宋体" w:cs="Times New Roman"/>
              <w:b/>
              <w:szCs w:val="24"/>
            </w:rPr>
            <w:fldChar w:fldCharType="separate"/>
          </w:r>
          <w:r>
            <w:rPr>
              <w:rFonts w:hint="default" w:ascii="Times New Roman" w:hAnsi="Times New Roman" w:eastAsia="黑体" w:cs="Times New Roman"/>
              <w:b/>
              <w:szCs w:val="44"/>
              <w:highlight w:val="none"/>
            </w:rPr>
            <w:t>第</w:t>
          </w:r>
          <w:r>
            <w:rPr>
              <w:rFonts w:hint="default" w:ascii="Times New Roman" w:hAnsi="Times New Roman" w:eastAsia="黑体" w:cs="Times New Roman"/>
              <w:b/>
              <w:highlight w:val="none"/>
            </w:rPr>
            <w:t>五部分 附表</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_Toc31074 \h </w:instrText>
          </w:r>
          <w:r>
            <w:rPr>
              <w:rFonts w:hint="default" w:ascii="Times New Roman" w:hAnsi="Times New Roman" w:cs="Times New Roman"/>
              <w:b/>
            </w:rPr>
            <w:fldChar w:fldCharType="separate"/>
          </w:r>
          <w:r>
            <w:rPr>
              <w:rFonts w:hint="default" w:ascii="Times New Roman" w:hAnsi="Times New Roman" w:cs="Times New Roman"/>
              <w:b/>
            </w:rPr>
            <w:t>23</w:t>
          </w:r>
          <w:r>
            <w:rPr>
              <w:rFonts w:hint="default" w:ascii="Times New Roman" w:hAnsi="Times New Roman" w:cs="Times New Roman"/>
              <w:b/>
            </w:rPr>
            <w:fldChar w:fldCharType="end"/>
          </w:r>
          <w:r>
            <w:rPr>
              <w:rFonts w:hint="default" w:ascii="Times New Roman" w:hAnsi="Times New Roman" w:eastAsia="宋体" w:cs="Times New Roman"/>
              <w:b/>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_Toc18349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highlight w:val="none"/>
            </w:rPr>
            <w:t>一、收</w:t>
          </w:r>
          <w:r>
            <w:rPr>
              <w:rFonts w:hint="default" w:ascii="Times New Roman" w:hAnsi="Times New Roman" w:eastAsia="仿宋" w:cs="Times New Roman"/>
              <w:bCs w:val="0"/>
              <w:highlight w:val="none"/>
            </w:rPr>
            <w:t>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_Toc18349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_Toc25078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highlight w:val="none"/>
            </w:rPr>
            <w:t>二、收</w:t>
          </w:r>
          <w:r>
            <w:rPr>
              <w:rFonts w:hint="default" w:ascii="Times New Roman" w:hAnsi="Times New Roman" w:eastAsia="仿宋" w:cs="Times New Roman"/>
              <w:bCs w:val="0"/>
              <w:highlight w:val="none"/>
            </w:rPr>
            <w:t>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_Toc25078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_Toc22540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三、</w:t>
          </w:r>
          <w:r>
            <w:rPr>
              <w:rFonts w:hint="default" w:ascii="Times New Roman" w:hAnsi="Times New Roman" w:eastAsia="仿宋" w:cs="Times New Roman"/>
              <w:highlight w:val="none"/>
            </w:rPr>
            <w:t>支</w:t>
          </w:r>
          <w:r>
            <w:rPr>
              <w:rFonts w:hint="default" w:ascii="Times New Roman" w:hAnsi="Times New Roman" w:eastAsia="仿宋" w:cs="Times New Roman"/>
              <w:bCs w:val="0"/>
              <w:highlight w:val="none"/>
            </w:rPr>
            <w:t>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_Toc22540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_Toc27046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四、</w:t>
          </w:r>
          <w:r>
            <w:rPr>
              <w:rFonts w:hint="default" w:ascii="Times New Roman" w:hAnsi="Times New Roman" w:eastAsia="仿宋" w:cs="Times New Roman"/>
              <w:highlight w:val="none"/>
            </w:rPr>
            <w:t>财</w:t>
          </w:r>
          <w:r>
            <w:rPr>
              <w:rFonts w:hint="default" w:ascii="Times New Roman" w:hAnsi="Times New Roman" w:eastAsia="仿宋" w:cs="Times New Roman"/>
              <w:bCs w:val="0"/>
              <w:highlight w:val="none"/>
            </w:rPr>
            <w:t>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_Toc27046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_Toc20785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五、</w:t>
          </w:r>
          <w:r>
            <w:rPr>
              <w:rFonts w:hint="default" w:ascii="Times New Roman" w:hAnsi="Times New Roman" w:eastAsia="仿宋" w:cs="Times New Roman"/>
              <w:highlight w:val="none"/>
            </w:rPr>
            <w:t>财</w:t>
          </w:r>
          <w:r>
            <w:rPr>
              <w:rFonts w:hint="default" w:ascii="Times New Roman" w:hAnsi="Times New Roman" w:eastAsia="仿宋" w:cs="Times New Roman"/>
              <w:bCs w:val="0"/>
              <w:highlight w:val="none"/>
            </w:rPr>
            <w:t>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_Toc20785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_Toc7607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六、</w:t>
          </w:r>
          <w:r>
            <w:rPr>
              <w:rFonts w:hint="default" w:ascii="Times New Roman" w:hAnsi="Times New Roman" w:eastAsia="仿宋" w:cs="Times New Roman"/>
              <w:highlight w:val="none"/>
            </w:rPr>
            <w:t>一</w:t>
          </w:r>
          <w:r>
            <w:rPr>
              <w:rFonts w:hint="default" w:ascii="Times New Roman" w:hAnsi="Times New Roman" w:eastAsia="仿宋" w:cs="Times New Roman"/>
              <w:bCs w:val="0"/>
              <w:highlight w:val="none"/>
            </w:rPr>
            <w:t>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_Toc7607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_Toc26144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七、</w:t>
          </w:r>
          <w:r>
            <w:rPr>
              <w:rFonts w:hint="default" w:ascii="Times New Roman" w:hAnsi="Times New Roman" w:eastAsia="仿宋" w:cs="Times New Roman"/>
              <w:highlight w:val="none"/>
            </w:rPr>
            <w:t>一</w:t>
          </w:r>
          <w:r>
            <w:rPr>
              <w:rFonts w:hint="default" w:ascii="Times New Roman" w:hAnsi="Times New Roman" w:eastAsia="仿宋" w:cs="Times New Roman"/>
              <w:bCs w:val="0"/>
              <w:highlight w:val="none"/>
            </w:rPr>
            <w:t>般公共预算财政拨款支出决算明细表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_Toc26144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_Toc7334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八、</w:t>
          </w:r>
          <w:r>
            <w:rPr>
              <w:rFonts w:hint="default" w:ascii="Times New Roman" w:hAnsi="Times New Roman" w:eastAsia="仿宋" w:cs="Times New Roman"/>
              <w:highlight w:val="none"/>
            </w:rPr>
            <w:t>一</w:t>
          </w:r>
          <w:r>
            <w:rPr>
              <w:rFonts w:hint="default" w:ascii="Times New Roman" w:hAnsi="Times New Roman" w:eastAsia="仿宋" w:cs="Times New Roman"/>
              <w:bCs w:val="0"/>
              <w:highlight w:val="none"/>
            </w:rPr>
            <w:t>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_Toc7334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_Toc15556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九、</w:t>
          </w:r>
          <w:r>
            <w:rPr>
              <w:rFonts w:hint="default" w:ascii="Times New Roman" w:hAnsi="Times New Roman" w:eastAsia="仿宋" w:cs="Times New Roman"/>
              <w:highlight w:val="none"/>
            </w:rPr>
            <w:t>一</w:t>
          </w:r>
          <w:r>
            <w:rPr>
              <w:rFonts w:hint="default" w:ascii="Times New Roman" w:hAnsi="Times New Roman" w:eastAsia="仿宋" w:cs="Times New Roman"/>
              <w:bCs w:val="0"/>
              <w:highlight w:val="none"/>
            </w:rPr>
            <w:t>般公共预算财政拨款项目支出决算表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_Toc15556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_Toc30859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十、</w:t>
          </w:r>
          <w:r>
            <w:rPr>
              <w:rFonts w:hint="default" w:ascii="Times New Roman" w:hAnsi="Times New Roman" w:eastAsia="仿宋" w:cs="Times New Roman"/>
              <w:highlight w:val="none"/>
            </w:rPr>
            <w:t>一</w:t>
          </w:r>
          <w:r>
            <w:rPr>
              <w:rFonts w:hint="default" w:ascii="Times New Roman" w:hAnsi="Times New Roman" w:eastAsia="仿宋" w:cs="Times New Roman"/>
              <w:bCs w:val="0"/>
              <w:highlight w:val="none"/>
            </w:rPr>
            <w:t>般公共预算财政拨款“三公”经费支出决算表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_Toc30859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_Toc31557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十一、</w:t>
          </w:r>
          <w:r>
            <w:rPr>
              <w:rFonts w:hint="default" w:ascii="Times New Roman" w:hAnsi="Times New Roman" w:eastAsia="仿宋" w:cs="Times New Roman"/>
              <w:highlight w:val="none"/>
            </w:rPr>
            <w:t>政</w:t>
          </w:r>
          <w:r>
            <w:rPr>
              <w:rFonts w:hint="default" w:ascii="Times New Roman" w:hAnsi="Times New Roman" w:eastAsia="仿宋" w:cs="Times New Roman"/>
              <w:bCs w:val="0"/>
              <w:highlight w:val="none"/>
            </w:rPr>
            <w:t>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_Toc31557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_Toc29078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十二、</w:t>
          </w:r>
          <w:r>
            <w:rPr>
              <w:rFonts w:hint="default" w:ascii="Times New Roman" w:hAnsi="Times New Roman" w:eastAsia="仿宋" w:cs="Times New Roman"/>
              <w:highlight w:val="none"/>
            </w:rPr>
            <w:t>政</w:t>
          </w:r>
          <w:r>
            <w:rPr>
              <w:rFonts w:hint="default" w:ascii="Times New Roman" w:hAnsi="Times New Roman" w:eastAsia="仿宋" w:cs="Times New Roman"/>
              <w:bCs w:val="0"/>
              <w:highlight w:val="none"/>
            </w:rPr>
            <w:t>府性基金预算财政拨款“三公”经费支出决算表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_Toc29078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cs="Times New Roman"/>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_Toc28949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rPr>
            <w:t>十三、</w:t>
          </w:r>
          <w:r>
            <w:rPr>
              <w:rFonts w:hint="default" w:ascii="Times New Roman" w:hAnsi="Times New Roman" w:eastAsia="仿宋" w:cs="Times New Roman"/>
              <w:highlight w:val="none"/>
            </w:rPr>
            <w:t>国</w:t>
          </w:r>
          <w:r>
            <w:rPr>
              <w:rFonts w:hint="default" w:ascii="Times New Roman" w:hAnsi="Times New Roman" w:eastAsia="仿宋" w:cs="Times New Roman"/>
              <w:bCs w:val="0"/>
              <w:highlight w:val="none"/>
            </w:rPr>
            <w:t>有资本经营预算</w:t>
          </w:r>
          <w:r>
            <w:rPr>
              <w:rFonts w:hint="default" w:ascii="Times New Roman" w:hAnsi="Times New Roman" w:eastAsia="仿宋" w:cs="Times New Roman"/>
              <w:bCs w:val="0"/>
              <w:highlight w:val="none"/>
              <w:lang w:eastAsia="zh-CN"/>
            </w:rPr>
            <w:t>财政拨款收入</w:t>
          </w:r>
          <w:r>
            <w:rPr>
              <w:rFonts w:hint="default" w:ascii="Times New Roman" w:hAnsi="Times New Roman" w:eastAsia="仿宋" w:cs="Times New Roman"/>
              <w:bCs w:val="0"/>
              <w:highlight w:val="none"/>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_Toc28949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p>
        <w:p>
          <w:pPr>
            <w:pStyle w:val="19"/>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HYPERLINK \l _Toc29037 </w:instrText>
          </w:r>
          <w:r>
            <w:rPr>
              <w:rFonts w:hint="default" w:ascii="Times New Roman" w:hAnsi="Times New Roman" w:eastAsia="宋体" w:cs="Times New Roman"/>
              <w:szCs w:val="24"/>
            </w:rPr>
            <w:fldChar w:fldCharType="separate"/>
          </w:r>
          <w:r>
            <w:rPr>
              <w:rFonts w:hint="default" w:ascii="Times New Roman" w:hAnsi="Times New Roman" w:eastAsia="仿宋" w:cs="Times New Roman"/>
              <w:bCs w:val="0"/>
              <w:highlight w:val="none"/>
              <w:lang w:eastAsia="zh-CN"/>
            </w:rPr>
            <w:t>十四、国有资本经营预算财政拨款支出决算表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_Toc29037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szCs w:val="24"/>
            </w:rPr>
            <w:fldChar w:fldCharType="end"/>
          </w:r>
          <w:r>
            <w:rPr>
              <w:rFonts w:hint="default" w:ascii="Times New Roman" w:hAnsi="Times New Roman" w:eastAsia="宋体" w:cs="Times New Roman"/>
              <w:b/>
              <w:szCs w:val="24"/>
            </w:rPr>
            <w:fldChar w:fldCharType="end"/>
          </w:r>
        </w:p>
      </w:sdtContent>
    </w:sdt>
    <w:p>
      <w:pPr>
        <w:pStyle w:val="2"/>
        <w:keepNext w:val="0"/>
        <w:keepLines w:val="0"/>
        <w:pageBreakBefore w:val="0"/>
        <w:widowControl w:val="0"/>
        <w:kinsoku/>
        <w:wordWrap/>
        <w:overflowPunct/>
        <w:topLinePunct w:val="0"/>
        <w:bidi w:val="0"/>
        <w:snapToGrid/>
        <w:spacing w:line="576" w:lineRule="exact"/>
        <w:ind w:left="0" w:leftChars="0"/>
        <w:textAlignment w:val="auto"/>
        <w:rPr>
          <w:rFonts w:hint="default" w:ascii="Times New Roman" w:hAnsi="Times New Roman" w:eastAsia="黑体" w:cs="Times New Roman"/>
          <w:color w:val="auto"/>
          <w:sz w:val="24"/>
          <w:szCs w:val="24"/>
          <w:highlight w:val="none"/>
        </w:rPr>
        <w:sectPr>
          <w:pgSz w:w="11906" w:h="16838"/>
          <w:pgMar w:top="1440" w:right="1800" w:bottom="1440" w:left="1800" w:header="851" w:footer="992" w:gutter="0"/>
          <w:pgNumType w:start="1"/>
          <w:cols w:space="425" w:num="1"/>
          <w:titlePg/>
          <w:docGrid w:type="lines" w:linePitch="312" w:charSpace="0"/>
        </w:sectPr>
      </w:pPr>
      <w:r>
        <w:rPr>
          <w:rFonts w:hint="default" w:ascii="Times New Roman" w:hAnsi="Times New Roman" w:eastAsia="黑体" w:cs="Times New Roman"/>
          <w:color w:val="auto"/>
          <w:sz w:val="24"/>
          <w:szCs w:val="24"/>
          <w:highlight w:val="none"/>
        </w:rPr>
        <w:fldChar w:fldCharType="end"/>
      </w:r>
      <w:bookmarkStart w:id="17" w:name="_Toc15377196"/>
      <w:bookmarkStart w:id="18" w:name="_Toc15396599"/>
      <w:bookmarkStart w:id="19" w:name="_Toc10848"/>
    </w:p>
    <w:p>
      <w:pPr>
        <w:pStyle w:val="2"/>
        <w:keepNext w:val="0"/>
        <w:keepLines w:val="0"/>
        <w:pageBreakBefore w:val="0"/>
        <w:widowControl w:val="0"/>
        <w:kinsoku/>
        <w:wordWrap/>
        <w:overflowPunct/>
        <w:topLinePunct w:val="0"/>
        <w:bidi w:val="0"/>
        <w:snapToGrid/>
        <w:spacing w:line="576" w:lineRule="exact"/>
        <w:ind w:left="0" w:leftChars="0"/>
        <w:jc w:val="center"/>
        <w:textAlignment w:val="auto"/>
        <w:outlineLvl w:val="0"/>
        <w:rPr>
          <w:rStyle w:val="15"/>
          <w:rFonts w:hint="default" w:ascii="Times New Roman" w:hAnsi="Times New Roman" w:eastAsia="黑体" w:cs="Times New Roman"/>
          <w:b/>
          <w:bCs w:val="0"/>
          <w:color w:val="auto"/>
          <w:sz w:val="44"/>
          <w:szCs w:val="44"/>
          <w:highlight w:val="none"/>
        </w:rPr>
      </w:pPr>
      <w:bookmarkStart w:id="20" w:name="_Toc2088"/>
      <w:r>
        <w:rPr>
          <w:rFonts w:hint="default" w:ascii="Times New Roman" w:hAnsi="Times New Roman" w:eastAsia="黑体" w:cs="Times New Roman"/>
          <w:b w:val="0"/>
          <w:color w:val="auto"/>
          <w:sz w:val="44"/>
          <w:szCs w:val="44"/>
          <w:highlight w:val="none"/>
        </w:rPr>
        <w:t xml:space="preserve">第一部分 </w:t>
      </w:r>
      <w:r>
        <w:rPr>
          <w:rFonts w:hint="default" w:ascii="Times New Roman" w:hAnsi="Times New Roman" w:eastAsia="黑体" w:cs="Times New Roman"/>
          <w:b w:val="0"/>
          <w:color w:val="auto"/>
          <w:sz w:val="44"/>
          <w:szCs w:val="44"/>
          <w:highlight w:val="none"/>
          <w:lang w:eastAsia="zh-CN"/>
        </w:rPr>
        <w:t>单位</w:t>
      </w:r>
      <w:r>
        <w:rPr>
          <w:rStyle w:val="15"/>
          <w:rFonts w:hint="default" w:ascii="Times New Roman" w:hAnsi="Times New Roman" w:eastAsia="黑体" w:cs="Times New Roman"/>
          <w:b w:val="0"/>
          <w:bCs w:val="0"/>
          <w:color w:val="auto"/>
          <w:sz w:val="44"/>
          <w:szCs w:val="44"/>
          <w:highlight w:val="none"/>
        </w:rPr>
        <w:t>概况</w:t>
      </w:r>
      <w:bookmarkEnd w:id="17"/>
      <w:bookmarkEnd w:id="18"/>
      <w:bookmarkEnd w:id="19"/>
      <w:bookmarkEnd w:id="20"/>
    </w:p>
    <w:p>
      <w:pPr>
        <w:pageBreakBefore w:val="0"/>
        <w:widowControl/>
        <w:kinsoku/>
        <w:wordWrap/>
        <w:overflowPunct/>
        <w:topLinePunct w:val="0"/>
        <w:bidi w:val="0"/>
        <w:spacing w:line="576" w:lineRule="exact"/>
        <w:jc w:val="left"/>
        <w:textAlignment w:val="auto"/>
        <w:rPr>
          <w:rFonts w:hint="default" w:ascii="Times New Roman" w:hAnsi="Times New Roman" w:eastAsia="黑体" w:cs="Times New Roman"/>
          <w:color w:val="auto"/>
          <w:sz w:val="32"/>
          <w:szCs w:val="32"/>
          <w:highlight w:val="none"/>
        </w:rPr>
      </w:pPr>
    </w:p>
    <w:p>
      <w:pPr>
        <w:pStyle w:val="4"/>
        <w:pageBreakBefore w:val="0"/>
        <w:numPr>
          <w:ilvl w:val="0"/>
          <w:numId w:val="0"/>
        </w:numPr>
        <w:kinsoku/>
        <w:wordWrap/>
        <w:overflowPunct/>
        <w:topLinePunct w:val="0"/>
        <w:autoSpaceDE/>
        <w:autoSpaceDN/>
        <w:bidi w:val="0"/>
        <w:spacing w:before="0" w:after="0" w:line="576" w:lineRule="exact"/>
        <w:textAlignment w:val="auto"/>
        <w:rPr>
          <w:rStyle w:val="16"/>
          <w:rFonts w:hint="default" w:ascii="Times New Roman" w:hAnsi="Times New Roman" w:eastAsia="黑体" w:cs="Times New Roman"/>
          <w:b w:val="0"/>
          <w:bCs w:val="0"/>
          <w:color w:val="auto"/>
          <w:highlight w:val="none"/>
          <w:lang w:eastAsia="zh-CN"/>
        </w:rPr>
      </w:pPr>
      <w:bookmarkStart w:id="21" w:name="_Toc12509"/>
      <w:bookmarkStart w:id="22" w:name="_Toc15396600"/>
      <w:bookmarkStart w:id="23" w:name="_Toc15377197"/>
      <w:r>
        <w:rPr>
          <w:rStyle w:val="16"/>
          <w:rFonts w:hint="default" w:ascii="Times New Roman" w:hAnsi="Times New Roman" w:eastAsia="黑体" w:cs="Times New Roman"/>
          <w:b w:val="0"/>
          <w:bCs w:val="0"/>
          <w:color w:val="auto"/>
          <w:highlight w:val="none"/>
          <w:lang w:val="en-US" w:eastAsia="zh-CN"/>
        </w:rPr>
        <w:t xml:space="preserve">    </w:t>
      </w:r>
      <w:bookmarkStart w:id="24" w:name="_Toc29578"/>
      <w:r>
        <w:rPr>
          <w:rStyle w:val="16"/>
          <w:rFonts w:hint="default" w:ascii="Times New Roman" w:hAnsi="Times New Roman" w:eastAsia="黑体" w:cs="Times New Roman"/>
          <w:b w:val="0"/>
          <w:bCs w:val="0"/>
          <w:color w:val="auto"/>
          <w:highlight w:val="none"/>
          <w:lang w:val="en-US" w:eastAsia="zh-CN"/>
        </w:rPr>
        <w:t>一、</w:t>
      </w:r>
      <w:r>
        <w:rPr>
          <w:rStyle w:val="16"/>
          <w:rFonts w:hint="default" w:ascii="Times New Roman" w:hAnsi="Times New Roman" w:eastAsia="黑体" w:cs="Times New Roman"/>
          <w:b w:val="0"/>
          <w:bCs w:val="0"/>
          <w:color w:val="auto"/>
          <w:highlight w:val="none"/>
        </w:rPr>
        <w:t>职能</w:t>
      </w:r>
      <w:r>
        <w:rPr>
          <w:rStyle w:val="16"/>
          <w:rFonts w:hint="default" w:ascii="Times New Roman" w:hAnsi="Times New Roman" w:eastAsia="黑体" w:cs="Times New Roman"/>
          <w:b w:val="0"/>
          <w:bCs w:val="0"/>
          <w:color w:val="auto"/>
          <w:highlight w:val="none"/>
          <w:lang w:eastAsia="zh-CN"/>
        </w:rPr>
        <w:t>简介</w:t>
      </w:r>
      <w:bookmarkEnd w:id="21"/>
      <w:bookmarkEnd w:id="24"/>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负责全区机关事务的管理和指导工作；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负责制定、指导并组织实施全区机关后勤运行经费、资产、服务管理及机关后勤改革的具体办法和措施；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负责制定全区“公务车辆管理办法”并组织实施；</w:t>
      </w:r>
      <w:r>
        <w:rPr>
          <w:rFonts w:hint="default" w:ascii="Times New Roman" w:hAnsi="Times New Roman" w:eastAsia="仿宋_GB2312" w:cs="Times New Roman"/>
          <w:color w:val="auto"/>
          <w:sz w:val="32"/>
          <w:szCs w:val="32"/>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4.负责</w:t>
      </w:r>
      <w:r>
        <w:rPr>
          <w:rFonts w:hint="default" w:ascii="Times New Roman" w:hAnsi="Times New Roman" w:eastAsia="仿宋_GB2312" w:cs="Times New Roman"/>
          <w:color w:val="auto"/>
          <w:sz w:val="32"/>
          <w:szCs w:val="32"/>
          <w:lang w:eastAsia="zh-CN"/>
        </w:rPr>
        <w:t>公务用车的编制管理和编制核定以及公务车辆的配备、更新、维修、调配、处置等工作；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firstLine="320" w:firstLineChars="1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5.</w:t>
      </w:r>
      <w:r>
        <w:rPr>
          <w:rFonts w:hint="default" w:ascii="Times New Roman" w:hAnsi="Times New Roman" w:eastAsia="仿宋_GB2312" w:cs="Times New Roman"/>
          <w:color w:val="auto"/>
          <w:sz w:val="32"/>
          <w:szCs w:val="32"/>
          <w:lang w:eastAsia="zh-CN"/>
        </w:rPr>
        <w:t>负责制定全区公共机构节能管理规划及相关制度并组织实施；</w:t>
      </w:r>
    </w:p>
    <w:p>
      <w:pPr>
        <w:pStyle w:val="5"/>
        <w:keepNext w:val="0"/>
        <w:keepLines w:val="0"/>
        <w:pageBreakBefore w:val="0"/>
        <w:kinsoku/>
        <w:wordWrap/>
        <w:overflowPunct/>
        <w:topLinePunct w:val="0"/>
        <w:autoSpaceDE/>
        <w:autoSpaceDN/>
        <w:bidi w:val="0"/>
        <w:adjustRightInd w:val="0"/>
        <w:snapToGrid w:val="0"/>
        <w:spacing w:beforeLines="0" w:beforeAutospacing="0" w:afterAutospacing="0"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6.负责</w:t>
      </w:r>
      <w:r>
        <w:rPr>
          <w:rFonts w:hint="default" w:ascii="Times New Roman" w:hAnsi="Times New Roman" w:eastAsia="仿宋_GB2312" w:cs="Times New Roman"/>
          <w:color w:val="auto"/>
          <w:sz w:val="32"/>
          <w:szCs w:val="32"/>
          <w:lang w:eastAsia="zh-CN"/>
        </w:rPr>
        <w:t>全区公共机构能耗统计、监测和评价考核工作；</w:t>
      </w:r>
    </w:p>
    <w:p>
      <w:pPr>
        <w:pStyle w:val="5"/>
        <w:keepNext w:val="0"/>
        <w:keepLines w:val="0"/>
        <w:pageBreakBefore w:val="0"/>
        <w:kinsoku/>
        <w:wordWrap/>
        <w:overflowPunct/>
        <w:topLinePunct w:val="0"/>
        <w:autoSpaceDE/>
        <w:autoSpaceDN/>
        <w:bidi w:val="0"/>
        <w:adjustRightInd w:val="0"/>
        <w:snapToGrid w:val="0"/>
        <w:spacing w:beforeLines="0" w:beforeAutospacing="0" w:afterAutospacing="0" w:line="576"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负责区级机关集中办公区域的后勤管理，保障</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工作</w:t>
      </w:r>
      <w:r>
        <w:rPr>
          <w:rFonts w:hint="default" w:ascii="Times New Roman" w:hAnsi="Times New Roman" w:cs="Times New Roman"/>
          <w:color w:val="auto"/>
          <w:sz w:val="32"/>
          <w:szCs w:val="32"/>
          <w:lang w:eastAsia="zh-CN"/>
        </w:rPr>
        <w:t>；</w:t>
      </w:r>
    </w:p>
    <w:p>
      <w:pPr>
        <w:pStyle w:val="5"/>
        <w:keepNext w:val="0"/>
        <w:keepLines w:val="0"/>
        <w:pageBreakBefore w:val="0"/>
        <w:kinsoku/>
        <w:wordWrap/>
        <w:overflowPunct/>
        <w:topLinePunct w:val="0"/>
        <w:autoSpaceDE/>
        <w:autoSpaceDN/>
        <w:bidi w:val="0"/>
        <w:adjustRightInd w:val="0"/>
        <w:snapToGrid w:val="0"/>
        <w:spacing w:beforeLines="0" w:beforeAutospacing="0" w:afterAutospacing="0" w:line="576"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承办上级交办的其他事项</w:t>
      </w:r>
      <w:r>
        <w:rPr>
          <w:rFonts w:hint="default" w:ascii="Times New Roman" w:hAnsi="Times New Roman" w:cs="Times New Roman"/>
          <w:color w:val="auto"/>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黑体" w:cs="Times New Roman"/>
          <w:b w:val="0"/>
          <w:color w:val="auto"/>
          <w:highlight w:val="none"/>
          <w:lang w:eastAsia="zh-CN"/>
        </w:rPr>
      </w:pPr>
      <w:bookmarkStart w:id="25" w:name="_Toc6955"/>
      <w:bookmarkStart w:id="26" w:name="_Toc20263"/>
      <w:r>
        <w:rPr>
          <w:rFonts w:hint="default" w:ascii="Times New Roman" w:hAnsi="Times New Roman" w:eastAsia="黑体" w:cs="Times New Roman"/>
          <w:b w:val="0"/>
          <w:color w:val="auto"/>
          <w:highlight w:val="none"/>
          <w:lang w:val="en-US" w:eastAsia="zh-CN"/>
        </w:rPr>
        <w:t>二、2021年重点</w:t>
      </w:r>
      <w:r>
        <w:rPr>
          <w:rFonts w:hint="default" w:ascii="Times New Roman" w:hAnsi="Times New Roman" w:eastAsia="黑体" w:cs="Times New Roman"/>
          <w:b w:val="0"/>
          <w:color w:val="auto"/>
          <w:highlight w:val="none"/>
        </w:rPr>
        <w:t>工作</w:t>
      </w:r>
      <w:bookmarkEnd w:id="22"/>
      <w:bookmarkEnd w:id="23"/>
      <w:r>
        <w:rPr>
          <w:rFonts w:hint="default" w:ascii="Times New Roman" w:hAnsi="Times New Roman" w:eastAsia="黑体" w:cs="Times New Roman"/>
          <w:b w:val="0"/>
          <w:color w:val="auto"/>
          <w:highlight w:val="none"/>
          <w:lang w:eastAsia="zh-CN"/>
        </w:rPr>
        <w:t>完成情况</w:t>
      </w:r>
      <w:bookmarkEnd w:id="25"/>
      <w:bookmarkEnd w:id="26"/>
    </w:p>
    <w:p>
      <w:pPr>
        <w:keepNext w:val="0"/>
        <w:keepLines w:val="0"/>
        <w:pageBreakBefore w:val="0"/>
        <w:numPr>
          <w:ilvl w:val="0"/>
          <w:numId w:val="0"/>
        </w:numPr>
        <w:kinsoku/>
        <w:wordWrap/>
        <w:overflowPunct/>
        <w:topLinePunct w:val="0"/>
        <w:autoSpaceDE/>
        <w:autoSpaceDN/>
        <w:bidi w:val="0"/>
        <w:adjustRightInd/>
        <w:snapToGrid/>
        <w:spacing w:line="576" w:lineRule="exact"/>
        <w:ind w:leftChars="0" w:firstLine="643" w:firstLineChars="200"/>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（一）公务用车管理向安全聚焦，向优质服务聚力，不断提升公务出行保障能力。</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认真贯彻落实省、市、区关于加强公务用车安全管理教育整顿相关要求，始终把公务用车安全管理工作摆在首要位置；</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创新形式内容，着力提升司勤人员专业水平和职业操守，通过开展司勤人员“综合技能提升月”活动，不断增强司勤人员理想信念和遵规守法意识、安全责任意识，极大提升了司勤队伍整体形象；</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每周五定期开展“车场日”活动，做到无标识不上路、未纳入信息平台管理不上路、未纳入综合台账管理不上路、“带病车辆”不上路、接受处理的司勤人员不上路、身体状况不佳的不上路，严把用车需求，采取制度与费用相结合的双重管理模式，合理使用公务用车，减少不必要的公务出行；</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出台并严格执行司勤人员“十二个严禁”，明确提出司勤人员工作红线，进一步加强司勤人员纪律约束。截止目前，2021年全区公务出行1.1万余台次，行驶量程达100万公里，实现了车辆人员零事故、零违纪的“双零”安全管理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楷体_GB2312" w:cs="Times New Roman"/>
          <w:b/>
          <w:bCs/>
          <w:color w:val="000000"/>
          <w:sz w:val="32"/>
          <w:szCs w:val="32"/>
          <w:lang w:eastAsia="zh-CN"/>
        </w:rPr>
      </w:pPr>
      <w:r>
        <w:rPr>
          <w:rFonts w:hint="default" w:ascii="Times New Roman" w:hAnsi="Times New Roman" w:eastAsia="楷体_GB2312" w:cs="Times New Roman"/>
          <w:b/>
          <w:bCs/>
          <w:color w:val="000000"/>
          <w:sz w:val="32"/>
          <w:szCs w:val="32"/>
          <w:lang w:eastAsia="zh-CN"/>
        </w:rPr>
        <w:t>（</w:t>
      </w:r>
      <w:r>
        <w:rPr>
          <w:rFonts w:hint="default" w:ascii="Times New Roman" w:hAnsi="Times New Roman" w:eastAsia="楷体_GB2312" w:cs="Times New Roman"/>
          <w:b/>
          <w:bCs/>
          <w:color w:val="000000"/>
          <w:sz w:val="32"/>
          <w:szCs w:val="32"/>
          <w:lang w:val="en-US" w:eastAsia="zh-CN"/>
        </w:rPr>
        <w:t>二</w:t>
      </w:r>
      <w:r>
        <w:rPr>
          <w:rFonts w:hint="default" w:ascii="Times New Roman" w:hAnsi="Times New Roman" w:eastAsia="楷体_GB2312" w:cs="Times New Roman"/>
          <w:b/>
          <w:bCs/>
          <w:color w:val="000000"/>
          <w:sz w:val="32"/>
          <w:szCs w:val="32"/>
          <w:lang w:eastAsia="zh-CN"/>
        </w:rPr>
        <w:t>）强化组织领导，凝聚</w:t>
      </w:r>
      <w:r>
        <w:rPr>
          <w:rFonts w:hint="default" w:ascii="Times New Roman" w:hAnsi="Times New Roman" w:eastAsia="楷体_GB2312" w:cs="Times New Roman"/>
          <w:b/>
          <w:bCs/>
          <w:color w:val="000000"/>
          <w:sz w:val="32"/>
          <w:szCs w:val="32"/>
          <w:lang w:val="en-US" w:eastAsia="zh-CN"/>
        </w:rPr>
        <w:t>多</w:t>
      </w:r>
      <w:r>
        <w:rPr>
          <w:rFonts w:hint="default" w:ascii="Times New Roman" w:hAnsi="Times New Roman" w:eastAsia="楷体_GB2312" w:cs="Times New Roman"/>
          <w:b/>
          <w:bCs/>
          <w:color w:val="000000"/>
          <w:sz w:val="32"/>
          <w:szCs w:val="32"/>
          <w:lang w:eastAsia="zh-CN"/>
        </w:rPr>
        <w:t>方合力，</w:t>
      </w:r>
      <w:r>
        <w:rPr>
          <w:rFonts w:hint="default" w:ascii="Times New Roman" w:hAnsi="Times New Roman" w:eastAsia="楷体_GB2312" w:cs="Times New Roman"/>
          <w:b/>
          <w:bCs/>
          <w:color w:val="000000"/>
          <w:sz w:val="32"/>
          <w:szCs w:val="32"/>
          <w:lang w:val="en-US" w:eastAsia="zh-CN"/>
        </w:rPr>
        <w:t>不断推动节能</w:t>
      </w:r>
      <w:r>
        <w:rPr>
          <w:rFonts w:hint="default" w:ascii="Times New Roman" w:hAnsi="Times New Roman" w:eastAsia="楷体_GB2312" w:cs="Times New Roman"/>
          <w:b/>
          <w:bCs/>
          <w:color w:val="000000"/>
          <w:sz w:val="32"/>
          <w:szCs w:val="32"/>
          <w:lang w:eastAsia="zh-CN"/>
        </w:rPr>
        <w:t>工作取得新成效。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一是</w:t>
      </w:r>
      <w:r>
        <w:rPr>
          <w:rFonts w:hint="default" w:ascii="Times New Roman" w:hAnsi="Times New Roman" w:eastAsia="仿宋_GB2312" w:cs="Times New Roman"/>
          <w:color w:val="000000"/>
          <w:sz w:val="32"/>
          <w:szCs w:val="32"/>
          <w:lang w:val="en-US" w:eastAsia="zh-CN"/>
        </w:rPr>
        <w:t>党委政府推动。区委、区政府高度重视节能减排工作，成立了由区政府主要领导任组长的区公共机构节能减排工作领导小组，为节能减排工作的顺利推动提供了坚强有力的组织保障。广电中心综合行政办公楼改水、改电、改厕和屋顶治漏等工作，实现了水、电费用支出明显下降，办公环境得到明显改善，并成功创建为国家级节能示范单位。</w:t>
      </w:r>
      <w:r>
        <w:rPr>
          <w:rFonts w:hint="default" w:ascii="Times New Roman" w:hAnsi="Times New Roman" w:eastAsia="仿宋_GB2312" w:cs="Times New Roman"/>
          <w:sz w:val="32"/>
          <w:szCs w:val="32"/>
          <w:lang w:val="en-US" w:eastAsia="zh-CN"/>
        </w:rPr>
        <w:t>截至11月底，全区公共机构水电气能耗消耗同比下降12.8%，实现了水电气能耗连续两年有序下降；</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通过建立生活垃圾分类“绿色账户”机制，对各单位及干部职工实行生活垃圾分类回收积分制，不断推动生活垃圾分类取得实效；</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color w:val="000000"/>
          <w:sz w:val="32"/>
          <w:szCs w:val="32"/>
          <w:lang w:val="en-US" w:eastAsia="zh-CN"/>
        </w:rPr>
        <w:t>志愿服务联动。号召广大干部职工积极践行节能行动，开展志愿服务活动；</w:t>
      </w:r>
      <w:r>
        <w:rPr>
          <w:rFonts w:hint="default" w:ascii="Times New Roman" w:hAnsi="Times New Roman" w:eastAsia="仿宋_GB2312" w:cs="Times New Roman"/>
          <w:b/>
          <w:bCs/>
          <w:color w:val="000000"/>
          <w:sz w:val="32"/>
          <w:szCs w:val="32"/>
          <w:lang w:val="en-US" w:eastAsia="zh-CN"/>
        </w:rPr>
        <w:t>四是</w:t>
      </w:r>
      <w:r>
        <w:rPr>
          <w:rFonts w:hint="default" w:ascii="Times New Roman" w:hAnsi="Times New Roman" w:eastAsia="仿宋_GB2312" w:cs="Times New Roman"/>
          <w:color w:val="000000"/>
          <w:sz w:val="32"/>
          <w:szCs w:val="32"/>
          <w:lang w:val="en-US" w:eastAsia="zh-CN"/>
        </w:rPr>
        <w:t>“大节约”理念促动。</w:t>
      </w:r>
      <w:r>
        <w:rPr>
          <w:rFonts w:hint="default" w:ascii="Times New Roman" w:hAnsi="Times New Roman" w:eastAsia="仿宋_GB2312" w:cs="Times New Roman"/>
          <w:color w:val="auto"/>
          <w:kern w:val="2"/>
          <w:sz w:val="32"/>
          <w:szCs w:val="32"/>
          <w:lang w:val="en-US" w:eastAsia="zh-CN" w:bidi="ar-SA"/>
        </w:rPr>
        <w:t>联合区发改、区财政等部门研究制定《广元市昭化区节约型机关创建实施方案》</w:t>
      </w:r>
      <w:r>
        <w:rPr>
          <w:rFonts w:hint="default" w:ascii="Times New Roman" w:hAnsi="Times New Roman" w:eastAsia="仿宋_GB2312" w:cs="Times New Roman"/>
          <w:sz w:val="32"/>
          <w:szCs w:val="32"/>
          <w:lang w:val="en-US" w:eastAsia="zh-CN"/>
        </w:rPr>
        <w:t>涵盖宣传教育、绿色出行、人员经费、办文办会、差旅接待等13个方面，让节约型机关建设的触角延伸到各领域，确保节约型机关建设走深走实，</w:t>
      </w:r>
      <w:r>
        <w:rPr>
          <w:rFonts w:hint="default" w:ascii="Times New Roman" w:hAnsi="Times New Roman" w:eastAsia="仿宋_GB2312" w:cs="Times New Roman"/>
          <w:color w:val="auto"/>
          <w:kern w:val="2"/>
          <w:sz w:val="32"/>
          <w:szCs w:val="32"/>
          <w:lang w:val="en-US" w:eastAsia="zh-CN" w:bidi="ar-SA"/>
        </w:rPr>
        <w:t>实现了向管理要效益的目标。</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（三）统筹协调突出重点，资产管理举措更实更活。</w:t>
      </w:r>
    </w:p>
    <w:p>
      <w:pPr>
        <w:keepNext w:val="0"/>
        <w:keepLines w:val="0"/>
        <w:pageBreakBefore w:val="0"/>
        <w:kinsoku/>
        <w:wordWrap/>
        <w:overflowPunct/>
        <w:topLinePunct w:val="0"/>
        <w:autoSpaceDE/>
        <w:autoSpaceDN/>
        <w:bidi w:val="0"/>
        <w:adjustRightInd/>
        <w:snapToGrid/>
        <w:spacing w:line="576" w:lineRule="exact"/>
        <w:ind w:firstLine="643"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坚持属地管理，行业协同；</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科学统筹，合理调剂使用；</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因地制宜盘活闲置资产；</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科学施策，强化责任落实，不断加强办公用房安全管理；</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lang w:val="en-US" w:eastAsia="zh-CN"/>
        </w:rPr>
        <w:t>科学统筹，合理调剂处置通用办公设施设备。</w:t>
      </w:r>
    </w:p>
    <w:p>
      <w:pPr>
        <w:keepNext w:val="0"/>
        <w:keepLines w:val="0"/>
        <w:pageBreakBefore w:val="0"/>
        <w:numPr>
          <w:ilvl w:val="-1"/>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（四）强化服务意识，树立良好形象，会务保障工作迈上新台阶。</w:t>
      </w:r>
    </w:p>
    <w:p>
      <w:pPr>
        <w:keepNext w:val="0"/>
        <w:keepLines w:val="0"/>
        <w:pageBreakBefore w:val="0"/>
        <w:numPr>
          <w:ilvl w:val="-1"/>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完善硬件设施。按照上级相关要求，充分征求区机要保密局意见，高标准完成保密会务系统建设；</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强化形象提升。邀请区元坝职业中学教师，开展会务服务礼仪培训，现场进行点对点教学，进一步规范会务服务保障相关工作；</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强化服务意识。我中心目前共有4名会务保障人员（其中2名技术保障人员、2名会务服务人员）主要负责区广电中心4个综合性会议室的管理服务保障工作。今年以来截至目前高标准完成了543场各级各类会议服务保障工作，会务服务保障零失误、零差错，受到与会单位和各级领导的一致好评。</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（五）区政府总值班室工作更加顺畅。</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中心根据工作实际及时增派力量，完善硬件设施，健全工作机制，严格落实24小时值班制度，按照“及时、准确、完整”的情况报送要求及规范、科学、高效的工作目标，确保第一时间摸准下情，掌握上情，真正起到关键枢纽的作用。通过近一年的工作情况来看，区政府总值班室工作总体呈现出运转良好、及时高效的工作状态，为全区妥善处置应急突发情况，提供了可靠的信息数据支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（六）疫情防控不松劲，持续做好各项防控工作。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严格人员管控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认真组织消杀；</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适时开展人员去向摸排；</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全面完成疫苗接种。按照疫情防控相关要求，中心干部职工积极响应，主动参与，截至5月底，中心职工疫苗接种实现100%，做到了应种尽种，现目前正有序组织加强针接种，进一步为疫情防控筑牢坚实防线。</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3"/>
        <w:pageBreakBefore w:val="0"/>
        <w:kinsoku/>
        <w:wordWrap/>
        <w:overflowPunct/>
        <w:topLinePunct w:val="0"/>
        <w:bidi w:val="0"/>
        <w:spacing w:line="576" w:lineRule="exact"/>
        <w:ind w:right="440"/>
        <w:jc w:val="center"/>
        <w:textAlignment w:val="auto"/>
        <w:rPr>
          <w:rFonts w:hint="default" w:ascii="Times New Roman" w:hAnsi="Times New Roman" w:cs="Times New Roman"/>
          <w:color w:val="auto"/>
          <w:highlight w:val="none"/>
        </w:rPr>
      </w:pPr>
      <w:bookmarkStart w:id="27" w:name="_Toc15396602"/>
      <w:bookmarkStart w:id="28" w:name="_Toc4706"/>
      <w:bookmarkStart w:id="29" w:name="_Toc15377204"/>
      <w:bookmarkStart w:id="30" w:name="_Toc4665"/>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2021年度</w:t>
      </w:r>
      <w:r>
        <w:rPr>
          <w:rStyle w:val="15"/>
          <w:rFonts w:hint="default" w:ascii="Times New Roman" w:hAnsi="Times New Roman" w:eastAsia="黑体" w:cs="Times New Roman"/>
          <w:b w:val="0"/>
          <w:bCs/>
          <w:color w:val="auto"/>
          <w:highlight w:val="none"/>
          <w:lang w:eastAsia="zh-CN"/>
        </w:rPr>
        <w:t>单位</w:t>
      </w:r>
      <w:r>
        <w:rPr>
          <w:rStyle w:val="15"/>
          <w:rFonts w:hint="default" w:ascii="Times New Roman" w:hAnsi="Times New Roman" w:eastAsia="黑体" w:cs="Times New Roman"/>
          <w:b w:val="0"/>
          <w:bCs/>
          <w:color w:val="auto"/>
          <w:highlight w:val="none"/>
        </w:rPr>
        <w:t>决算情况说明</w:t>
      </w:r>
      <w:bookmarkEnd w:id="27"/>
      <w:bookmarkEnd w:id="28"/>
      <w:bookmarkEnd w:id="29"/>
      <w:bookmarkEnd w:id="30"/>
    </w:p>
    <w:p>
      <w:pPr>
        <w:pStyle w:val="17"/>
        <w:pageBreakBefore w:val="0"/>
        <w:numPr>
          <w:ilvl w:val="-1"/>
          <w:numId w:val="0"/>
        </w:numPr>
        <w:kinsoku/>
        <w:wordWrap/>
        <w:overflowPunct/>
        <w:topLinePunct w:val="0"/>
        <w:bidi w:val="0"/>
        <w:spacing w:line="576" w:lineRule="exact"/>
        <w:ind w:left="0" w:firstLine="0" w:firstLineChars="0"/>
        <w:textAlignment w:val="auto"/>
        <w:outlineLvl w:val="9"/>
        <w:rPr>
          <w:rFonts w:hint="default" w:ascii="Times New Roman" w:hAnsi="Times New Roman" w:eastAsia="黑体" w:cs="Times New Roman"/>
          <w:color w:val="auto"/>
          <w:sz w:val="32"/>
          <w:szCs w:val="32"/>
          <w:highlight w:val="none"/>
          <w:lang w:val="en-US" w:eastAsia="zh-CN"/>
        </w:rPr>
      </w:pPr>
      <w:bookmarkStart w:id="31" w:name="_Toc15377205"/>
      <w:bookmarkStart w:id="32" w:name="_Toc15396603"/>
      <w:bookmarkStart w:id="33" w:name="_Toc15371"/>
    </w:p>
    <w:p>
      <w:pPr>
        <w:pStyle w:val="17"/>
        <w:pageBreakBefore w:val="0"/>
        <w:numPr>
          <w:ilvl w:val="-1"/>
          <w:numId w:val="0"/>
        </w:numPr>
        <w:kinsoku/>
        <w:wordWrap/>
        <w:overflowPunct/>
        <w:topLinePunct w:val="0"/>
        <w:bidi w:val="0"/>
        <w:spacing w:line="576" w:lineRule="exact"/>
        <w:ind w:left="0" w:firstLine="0" w:firstLineChars="0"/>
        <w:textAlignment w:val="auto"/>
        <w:outlineLvl w:val="9"/>
        <w:rPr>
          <w:rFonts w:hint="default" w:ascii="Times New Roman" w:hAnsi="Times New Roman" w:eastAsia="黑体" w:cs="Times New Roman"/>
          <w:color w:val="auto"/>
          <w:sz w:val="32"/>
          <w:szCs w:val="32"/>
          <w:highlight w:val="none"/>
          <w:lang w:val="en-US" w:eastAsia="zh-CN"/>
        </w:rPr>
      </w:pPr>
    </w:p>
    <w:p>
      <w:pPr>
        <w:pStyle w:val="17"/>
        <w:pageBreakBefore w:val="0"/>
        <w:numPr>
          <w:ilvl w:val="-1"/>
          <w:numId w:val="0"/>
        </w:numPr>
        <w:kinsoku/>
        <w:wordWrap/>
        <w:overflowPunct/>
        <w:topLinePunct w:val="0"/>
        <w:bidi w:val="0"/>
        <w:spacing w:line="576" w:lineRule="exact"/>
        <w:ind w:left="0" w:firstLine="640" w:firstLineChars="200"/>
        <w:textAlignment w:val="auto"/>
        <w:outlineLvl w:val="1"/>
        <w:rPr>
          <w:rStyle w:val="16"/>
          <w:rFonts w:hint="default" w:ascii="Times New Roman" w:hAnsi="Times New Roman" w:eastAsia="黑体" w:cs="Times New Roman"/>
          <w:b w:val="0"/>
          <w:color w:val="auto"/>
          <w:highlight w:val="none"/>
        </w:rPr>
      </w:pPr>
      <w:bookmarkStart w:id="34" w:name="_Toc31158"/>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收</w:t>
      </w:r>
      <w:r>
        <w:rPr>
          <w:rStyle w:val="16"/>
          <w:rFonts w:hint="default" w:ascii="Times New Roman" w:hAnsi="Times New Roman" w:eastAsia="黑体" w:cs="Times New Roman"/>
          <w:b w:val="0"/>
          <w:color w:val="auto"/>
          <w:highlight w:val="none"/>
        </w:rPr>
        <w:t>入支出决算总体情况说明</w:t>
      </w:r>
      <w:bookmarkEnd w:id="31"/>
      <w:bookmarkEnd w:id="32"/>
      <w:bookmarkEnd w:id="33"/>
      <w:bookmarkEnd w:id="34"/>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年度收、支总计</w:t>
      </w:r>
      <w:r>
        <w:rPr>
          <w:rFonts w:hint="default" w:ascii="Times New Roman" w:hAnsi="Times New Roman" w:eastAsia="仿宋_GB2312" w:cs="Times New Roman"/>
          <w:sz w:val="32"/>
          <w:szCs w:val="32"/>
          <w:lang w:val="en-US" w:eastAsia="zh-CN"/>
        </w:rPr>
        <w:t>1338.56</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年相比，收、支总计各</w:t>
      </w:r>
      <w:r>
        <w:rPr>
          <w:rFonts w:hint="default"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val="en-US" w:eastAsia="zh-CN"/>
        </w:rPr>
        <w:t>13.45</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lang w:eastAsia="zh-CN"/>
        </w:rPr>
        <w:t>公务用车使用费减少。具体原因：一是由于资金紧</w:t>
      </w:r>
      <w:r>
        <w:rPr>
          <w:rFonts w:hint="default" w:ascii="Times New Roman" w:hAnsi="Times New Roman" w:eastAsia="仿宋_GB2312" w:cs="Times New Roman"/>
          <w:color w:val="auto"/>
          <w:sz w:val="32"/>
          <w:szCs w:val="32"/>
          <w:lang w:eastAsia="zh-CN"/>
        </w:rPr>
        <w:t>张，部分大修车辆采取分批次维修，未及时全部安排维修；二是保险制度改革后，部分车辆保费减少。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420"/>
        <w:textAlignment w:val="auto"/>
        <w:rPr>
          <w:rFonts w:hint="default" w:ascii="Times New Roman" w:hAnsi="Times New Roman" w:cs="Times New Roman"/>
        </w:rPr>
      </w:pPr>
    </w:p>
    <w:p>
      <w:pPr>
        <w:widowControl w:val="0"/>
        <w:spacing w:line="576"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-207645</wp:posOffset>
            </wp:positionH>
            <wp:positionV relativeFrom="paragraph">
              <wp:posOffset>96520</wp:posOffset>
            </wp:positionV>
            <wp:extent cx="5556885" cy="2805430"/>
            <wp:effectExtent l="4445" t="4445" r="16510" b="9525"/>
            <wp:wrapTight wrapText="bothSides">
              <wp:wrapPolygon>
                <wp:start x="-17" y="-34"/>
                <wp:lineTo x="-17" y="21556"/>
                <wp:lineTo x="21546" y="21556"/>
                <wp:lineTo x="21546" y="-34"/>
                <wp:lineTo x="-17" y="-34"/>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val="0"/>
        <w:spacing w:line="576" w:lineRule="exact"/>
        <w:ind w:firstLine="560" w:firstLineChars="200"/>
        <w:jc w:val="center"/>
        <w:rPr>
          <w:rFonts w:hint="default" w:ascii="Times New Roman" w:hAnsi="Times New Roman" w:eastAsia="楷体_GB2312" w:cs="Times New Roman"/>
          <w:b w:val="0"/>
          <w:bCs w:val="0"/>
          <w:color w:val="auto"/>
          <w:sz w:val="28"/>
          <w:szCs w:val="28"/>
          <w:highlight w:val="none"/>
        </w:rPr>
      </w:pPr>
      <w:r>
        <w:rPr>
          <w:rFonts w:hint="default" w:ascii="Times New Roman" w:hAnsi="Times New Roman" w:eastAsia="楷体_GB2312" w:cs="Times New Roman"/>
          <w:b w:val="0"/>
          <w:bCs w:val="0"/>
          <w:color w:val="auto"/>
          <w:sz w:val="28"/>
          <w:szCs w:val="28"/>
          <w:highlight w:val="none"/>
        </w:rPr>
        <w:t>（图1：收、支决算总计变动情况图）（柱状图）</w:t>
      </w:r>
    </w:p>
    <w:p>
      <w:pPr>
        <w:pStyle w:val="17"/>
        <w:numPr>
          <w:ilvl w:val="-1"/>
          <w:numId w:val="0"/>
        </w:numPr>
        <w:spacing w:line="576" w:lineRule="exact"/>
        <w:ind w:left="640" w:firstLine="0" w:firstLineChars="0"/>
        <w:outlineLvl w:val="9"/>
        <w:rPr>
          <w:rFonts w:hint="default" w:ascii="Times New Roman" w:hAnsi="Times New Roman" w:eastAsia="黑体" w:cs="Times New Roman"/>
          <w:color w:val="auto"/>
          <w:sz w:val="32"/>
          <w:szCs w:val="32"/>
          <w:highlight w:val="none"/>
          <w:lang w:val="en-US" w:eastAsia="zh-CN"/>
        </w:rPr>
      </w:pPr>
      <w:bookmarkStart w:id="35" w:name="_Toc15383"/>
      <w:bookmarkStart w:id="36" w:name="_Toc15377206"/>
      <w:bookmarkStart w:id="37" w:name="_Toc15396604"/>
    </w:p>
    <w:p>
      <w:pPr>
        <w:pStyle w:val="17"/>
        <w:numPr>
          <w:ilvl w:val="-1"/>
          <w:numId w:val="0"/>
        </w:numPr>
        <w:spacing w:line="576" w:lineRule="exact"/>
        <w:ind w:left="640" w:firstLine="0" w:firstLineChars="0"/>
        <w:outlineLvl w:val="1"/>
        <w:rPr>
          <w:rStyle w:val="16"/>
          <w:rFonts w:hint="default" w:ascii="Times New Roman" w:hAnsi="Times New Roman" w:eastAsia="黑体" w:cs="Times New Roman"/>
          <w:b w:val="0"/>
          <w:color w:val="auto"/>
          <w:highlight w:val="none"/>
        </w:rPr>
      </w:pPr>
      <w:bookmarkStart w:id="38" w:name="_Toc22999"/>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收</w:t>
      </w:r>
      <w:r>
        <w:rPr>
          <w:rStyle w:val="16"/>
          <w:rFonts w:hint="default" w:ascii="Times New Roman" w:hAnsi="Times New Roman" w:eastAsia="黑体" w:cs="Times New Roman"/>
          <w:b w:val="0"/>
          <w:color w:val="auto"/>
          <w:highlight w:val="none"/>
        </w:rPr>
        <w:t>入决算情况说明</w:t>
      </w:r>
      <w:bookmarkEnd w:id="35"/>
      <w:bookmarkEnd w:id="36"/>
      <w:bookmarkEnd w:id="37"/>
      <w:bookmarkEnd w:id="38"/>
    </w:p>
    <w:p>
      <w:pPr>
        <w:spacing w:line="576" w:lineRule="exact"/>
        <w:ind w:firstLine="640" w:firstLineChars="200"/>
        <w:outlineLvl w:val="1"/>
        <w:rPr>
          <w:rFonts w:hint="default" w:ascii="Times New Roman" w:hAnsi="Times New Roman" w:eastAsia="仿宋" w:cs="Times New Roman"/>
          <w:color w:val="auto"/>
          <w:sz w:val="32"/>
          <w:szCs w:val="32"/>
          <w:highlight w:val="none"/>
        </w:rPr>
      </w:pPr>
      <w:bookmarkStart w:id="39" w:name="_Toc1040"/>
      <w:bookmarkStart w:id="40" w:name="_Toc15256"/>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 w:cs="Times New Roman"/>
          <w:color w:val="auto"/>
          <w:sz w:val="32"/>
          <w:szCs w:val="32"/>
          <w:highlight w:val="none"/>
          <w:lang w:val="en-US" w:eastAsia="zh-CN"/>
        </w:rPr>
        <w:t>1338.56</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1338.56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w:t>
      </w:r>
      <w:bookmarkEnd w:id="39"/>
      <w:bookmarkEnd w:id="40"/>
    </w:p>
    <w:p>
      <w:pPr>
        <w:spacing w:line="576" w:lineRule="exact"/>
        <w:ind w:firstLine="420"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anchor distT="0" distB="0" distL="114935" distR="114935" simplePos="0" relativeHeight="251661312" behindDoc="1" locked="0" layoutInCell="1" allowOverlap="1">
            <wp:simplePos x="0" y="0"/>
            <wp:positionH relativeFrom="column">
              <wp:posOffset>-60325</wp:posOffset>
            </wp:positionH>
            <wp:positionV relativeFrom="paragraph">
              <wp:posOffset>194310</wp:posOffset>
            </wp:positionV>
            <wp:extent cx="4979035" cy="2383790"/>
            <wp:effectExtent l="4445" t="4445" r="15240" b="19685"/>
            <wp:wrapTight wrapText="bothSides">
              <wp:wrapPolygon>
                <wp:start x="-19" y="-40"/>
                <wp:lineTo x="-19" y="21502"/>
                <wp:lineTo x="21534" y="21502"/>
                <wp:lineTo x="21534" y="-40"/>
                <wp:lineTo x="-19" y="-4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spacing w:line="600" w:lineRule="exact"/>
        <w:ind w:firstLine="640" w:firstLineChars="200"/>
        <w:rPr>
          <w:rFonts w:hint="default" w:ascii="Times New Roman" w:hAnsi="Times New Roman" w:eastAsia="仿宋" w:cs="Times New Roman"/>
          <w:color w:val="auto"/>
          <w:sz w:val="32"/>
          <w:szCs w:val="32"/>
          <w:highlight w:val="none"/>
        </w:rPr>
      </w:pPr>
    </w:p>
    <w:p>
      <w:pPr>
        <w:spacing w:line="600" w:lineRule="exact"/>
        <w:ind w:firstLine="1400" w:firstLineChars="5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28"/>
          <w:szCs w:val="28"/>
          <w:highlight w:val="none"/>
          <w:lang w:eastAsia="zh-CN"/>
        </w:rPr>
        <w:t>（</w:t>
      </w:r>
      <w:r>
        <w:rPr>
          <w:rFonts w:hint="default" w:ascii="Times New Roman" w:hAnsi="Times New Roman" w:eastAsia="楷体_GB2312" w:cs="Times New Roman"/>
          <w:color w:val="auto"/>
          <w:sz w:val="28"/>
          <w:szCs w:val="28"/>
          <w:highlight w:val="none"/>
        </w:rPr>
        <w:t>图2：收入决算结构图）（饼状图）</w:t>
      </w:r>
    </w:p>
    <w:p>
      <w:pPr>
        <w:pStyle w:val="17"/>
        <w:numPr>
          <w:ilvl w:val="-1"/>
          <w:numId w:val="0"/>
        </w:numPr>
        <w:spacing w:line="600" w:lineRule="exact"/>
        <w:ind w:left="640" w:firstLine="0" w:firstLineChars="0"/>
        <w:outlineLvl w:val="1"/>
        <w:rPr>
          <w:rStyle w:val="16"/>
          <w:rFonts w:hint="default" w:ascii="Times New Roman" w:hAnsi="Times New Roman" w:eastAsia="黑体" w:cs="Times New Roman"/>
          <w:b w:val="0"/>
          <w:color w:val="auto"/>
          <w:highlight w:val="none"/>
        </w:rPr>
      </w:pPr>
      <w:bookmarkStart w:id="41" w:name="_Toc15377207"/>
      <w:bookmarkStart w:id="42" w:name="_Toc15396605"/>
      <w:bookmarkStart w:id="43" w:name="_Toc22076"/>
      <w:bookmarkStart w:id="44" w:name="_Toc32278"/>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支</w:t>
      </w:r>
      <w:r>
        <w:rPr>
          <w:rStyle w:val="16"/>
          <w:rFonts w:hint="default" w:ascii="Times New Roman" w:hAnsi="Times New Roman" w:eastAsia="黑体" w:cs="Times New Roman"/>
          <w:b w:val="0"/>
          <w:color w:val="auto"/>
          <w:highlight w:val="none"/>
        </w:rPr>
        <w:t>出决算情况说明</w:t>
      </w:r>
      <w:bookmarkEnd w:id="41"/>
      <w:bookmarkEnd w:id="42"/>
      <w:bookmarkEnd w:id="43"/>
      <w:bookmarkEnd w:id="44"/>
    </w:p>
    <w:p>
      <w:pPr>
        <w:spacing w:line="600" w:lineRule="exact"/>
        <w:ind w:firstLine="640" w:firstLineChars="200"/>
        <w:outlineLvl w:val="1"/>
        <w:rPr>
          <w:rFonts w:hint="default" w:ascii="Times New Roman" w:hAnsi="Times New Roman" w:eastAsia="仿宋" w:cs="Times New Roman"/>
          <w:color w:val="auto"/>
          <w:sz w:val="32"/>
          <w:szCs w:val="32"/>
          <w:highlight w:val="none"/>
        </w:rPr>
      </w:pPr>
      <w:bookmarkStart w:id="45" w:name="_Toc6693"/>
      <w:bookmarkStart w:id="46" w:name="_Toc29904"/>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1338.56</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1338.56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w:t>
      </w:r>
      <w:bookmarkEnd w:id="45"/>
      <w:bookmarkEnd w:id="46"/>
    </w:p>
    <w:p>
      <w:pPr>
        <w:pStyle w:val="5"/>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anchor distT="0" distB="0" distL="114935" distR="114935" simplePos="0" relativeHeight="251662336" behindDoc="1" locked="0" layoutInCell="1" allowOverlap="1">
            <wp:simplePos x="0" y="0"/>
            <wp:positionH relativeFrom="column">
              <wp:posOffset>-105410</wp:posOffset>
            </wp:positionH>
            <wp:positionV relativeFrom="paragraph">
              <wp:posOffset>96520</wp:posOffset>
            </wp:positionV>
            <wp:extent cx="5007610" cy="2199640"/>
            <wp:effectExtent l="4445" t="4445" r="17145" b="5715"/>
            <wp:wrapTight wrapText="bothSides">
              <wp:wrapPolygon>
                <wp:start x="-19" y="-44"/>
                <wp:lineTo x="-19" y="21506"/>
                <wp:lineTo x="21542" y="21506"/>
                <wp:lineTo x="21542" y="-44"/>
                <wp:lineTo x="-19" y="-44"/>
              </wp:wrapPolygon>
            </wp:wrapTight>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spacing w:line="600" w:lineRule="exact"/>
        <w:ind w:firstLine="1400" w:firstLineChars="500"/>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（图3：支出决算结构图）（饼状图）</w:t>
      </w:r>
    </w:p>
    <w:p>
      <w:pPr>
        <w:spacing w:line="600" w:lineRule="exact"/>
        <w:ind w:firstLine="640" w:firstLineChars="200"/>
        <w:outlineLvl w:val="1"/>
        <w:rPr>
          <w:rStyle w:val="16"/>
          <w:rFonts w:hint="default" w:ascii="Times New Roman" w:hAnsi="Times New Roman" w:eastAsia="黑体" w:cs="Times New Roman"/>
          <w:b w:val="0"/>
          <w:color w:val="auto"/>
          <w:highlight w:val="none"/>
        </w:rPr>
      </w:pPr>
      <w:bookmarkStart w:id="47" w:name="_Toc13587"/>
      <w:bookmarkStart w:id="48" w:name="_Toc15396606"/>
      <w:bookmarkStart w:id="49" w:name="_Toc15377208"/>
      <w:bookmarkStart w:id="50" w:name="_Toc13747"/>
      <w:r>
        <w:rPr>
          <w:rFonts w:hint="default" w:ascii="Times New Roman" w:hAnsi="Times New Roman" w:eastAsia="黑体" w:cs="Times New Roman"/>
          <w:color w:val="auto"/>
          <w:sz w:val="32"/>
          <w:szCs w:val="32"/>
          <w:highlight w:val="none"/>
        </w:rPr>
        <w:t>四、财</w:t>
      </w:r>
      <w:r>
        <w:rPr>
          <w:rStyle w:val="16"/>
          <w:rFonts w:hint="default" w:ascii="Times New Roman" w:hAnsi="Times New Roman" w:eastAsia="黑体" w:cs="Times New Roman"/>
          <w:b w:val="0"/>
          <w:color w:val="auto"/>
          <w:highlight w:val="none"/>
        </w:rPr>
        <w:t>政拨款收入支出决算总体情况说明</w:t>
      </w:r>
      <w:bookmarkEnd w:id="47"/>
      <w:bookmarkEnd w:id="48"/>
      <w:bookmarkEnd w:id="49"/>
      <w:bookmarkEnd w:id="50"/>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年财政拨款收、支总计</w:t>
      </w:r>
      <w:r>
        <w:rPr>
          <w:rFonts w:hint="default" w:ascii="Times New Roman" w:hAnsi="Times New Roman" w:eastAsia="仿宋_GB2312" w:cs="Times New Roman"/>
          <w:color w:val="auto"/>
          <w:sz w:val="32"/>
          <w:szCs w:val="32"/>
          <w:highlight w:val="none"/>
          <w:lang w:val="en-US" w:eastAsia="zh-CN"/>
        </w:rPr>
        <w:t>1338.56</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年相比，财政拨款收、支总计各</w:t>
      </w:r>
      <w:r>
        <w:rPr>
          <w:rFonts w:hint="default"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val="en-US" w:eastAsia="zh-CN"/>
        </w:rPr>
        <w:t>13.45</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lang w:eastAsia="zh-CN"/>
        </w:rPr>
        <w:t>公务用车使用费减少。具体原因：一是由于资金紧张，部分大修车辆采取分批次维修，未及时全部安排维修；二是保险制度改革后，部分车辆保费减少。</w:t>
      </w:r>
    </w:p>
    <w:p>
      <w:pPr>
        <w:pStyle w:val="5"/>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anchor distT="0" distB="0" distL="114935" distR="114935" simplePos="0" relativeHeight="251663360" behindDoc="1" locked="0" layoutInCell="1" allowOverlap="1">
            <wp:simplePos x="0" y="0"/>
            <wp:positionH relativeFrom="column">
              <wp:posOffset>107315</wp:posOffset>
            </wp:positionH>
            <wp:positionV relativeFrom="paragraph">
              <wp:posOffset>101600</wp:posOffset>
            </wp:positionV>
            <wp:extent cx="4848860" cy="1920875"/>
            <wp:effectExtent l="5080" t="4445" r="7620" b="40640"/>
            <wp:wrapTight wrapText="bothSides">
              <wp:wrapPolygon>
                <wp:start x="-23" y="-50"/>
                <wp:lineTo x="-23" y="21543"/>
                <wp:lineTo x="21566" y="21543"/>
                <wp:lineTo x="21566" y="-50"/>
                <wp:lineTo x="-23" y="-50"/>
              </wp:wrapPolygon>
            </wp:wrapTight>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5"/>
        <w:rPr>
          <w:rFonts w:hint="default" w:ascii="Times New Roman" w:hAnsi="Times New Roman" w:eastAsia="仿宋" w:cs="Times New Roman"/>
          <w:color w:val="auto"/>
          <w:sz w:val="32"/>
          <w:szCs w:val="32"/>
          <w:highlight w:val="none"/>
        </w:rPr>
      </w:pPr>
    </w:p>
    <w:p>
      <w:pPr>
        <w:pStyle w:val="5"/>
        <w:jc w:val="center"/>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spacing w:line="600" w:lineRule="exact"/>
        <w:ind w:firstLine="560" w:firstLineChars="200"/>
        <w:rPr>
          <w:rFonts w:hint="default" w:ascii="Times New Roman" w:hAnsi="Times New Roman" w:eastAsia="楷体_GB2312" w:cs="Times New Roman"/>
          <w:color w:val="auto"/>
          <w:sz w:val="28"/>
          <w:szCs w:val="28"/>
          <w:lang w:eastAsia="zh-CN"/>
        </w:rPr>
      </w:pPr>
      <w:r>
        <w:rPr>
          <w:rFonts w:hint="default" w:ascii="Times New Roman" w:hAnsi="Times New Roman" w:eastAsia="楷体_GB2312" w:cs="Times New Roman"/>
          <w:color w:val="auto"/>
          <w:sz w:val="28"/>
          <w:szCs w:val="28"/>
          <w:highlight w:val="none"/>
        </w:rPr>
        <w:t>（图4：财政拨款收、支决算总计变动情况）（柱状图）</w:t>
      </w:r>
    </w:p>
    <w:p>
      <w:pPr>
        <w:spacing w:line="600" w:lineRule="exact"/>
        <w:ind w:firstLine="640" w:firstLineChars="200"/>
        <w:outlineLvl w:val="1"/>
        <w:rPr>
          <w:rStyle w:val="16"/>
          <w:rFonts w:hint="default" w:ascii="Times New Roman" w:hAnsi="Times New Roman" w:eastAsia="黑体" w:cs="Times New Roman"/>
          <w:b w:val="0"/>
          <w:color w:val="auto"/>
          <w:highlight w:val="none"/>
        </w:rPr>
      </w:pPr>
      <w:bookmarkStart w:id="51" w:name="_Toc11899"/>
      <w:bookmarkStart w:id="52" w:name="_Toc15377209"/>
      <w:bookmarkStart w:id="53" w:name="_Toc15396607"/>
      <w:bookmarkStart w:id="54" w:name="_Toc9408"/>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16"/>
          <w:rFonts w:hint="default" w:ascii="Times New Roman" w:hAnsi="Times New Roman" w:eastAsia="黑体" w:cs="Times New Roman"/>
          <w:b w:val="0"/>
          <w:color w:val="auto"/>
          <w:highlight w:val="none"/>
        </w:rPr>
        <w:t>般公共预算财政拨款支出决算情况说明</w:t>
      </w:r>
      <w:bookmarkEnd w:id="51"/>
      <w:bookmarkEnd w:id="52"/>
      <w:bookmarkEnd w:id="53"/>
      <w:bookmarkEnd w:id="54"/>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55" w:name="_Toc15377210"/>
      <w:r>
        <w:rPr>
          <w:rFonts w:hint="default" w:ascii="Times New Roman" w:hAnsi="Times New Roman" w:eastAsia="仿宋" w:cs="Times New Roman"/>
          <w:b/>
          <w:color w:val="auto"/>
          <w:sz w:val="32"/>
          <w:szCs w:val="32"/>
          <w:highlight w:val="none"/>
        </w:rPr>
        <w:t>（一）一般公共预算财政拨款支出决算总体情况</w:t>
      </w:r>
      <w:bookmarkEnd w:id="55"/>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42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1338.56</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减少</w:t>
      </w:r>
      <w:r>
        <w:rPr>
          <w:rFonts w:hint="default" w:ascii="Times New Roman" w:hAnsi="Times New Roman" w:eastAsia="仿宋" w:cs="Times New Roman"/>
          <w:color w:val="auto"/>
          <w:sz w:val="32"/>
          <w:szCs w:val="32"/>
          <w:highlight w:val="none"/>
          <w:lang w:val="en-US" w:eastAsia="zh-CN"/>
        </w:rPr>
        <w:t>13.45</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color w:val="auto"/>
          <w:sz w:val="32"/>
          <w:szCs w:val="32"/>
          <w:lang w:eastAsia="zh-CN"/>
        </w:rPr>
        <w:t>公务用车使用费减少。具体原因：</w:t>
      </w:r>
      <w:r>
        <w:rPr>
          <w:rFonts w:hint="default" w:ascii="Times New Roman" w:hAnsi="Times New Roman" w:eastAsia="仿宋_GB2312" w:cs="Times New Roman"/>
          <w:color w:val="auto"/>
          <w:sz w:val="32"/>
          <w:szCs w:val="32"/>
          <w:lang w:eastAsia="zh-CN"/>
        </w:rPr>
        <w:t>一是由于资金紧张，部分大修车辆采取分批次维修，未及时全部安排维修；二是保险制度改革后，部分车辆保费减少。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42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rPr>
        <w:drawing>
          <wp:anchor distT="0" distB="0" distL="114935" distR="114935" simplePos="0" relativeHeight="251664384" behindDoc="1" locked="0" layoutInCell="1" allowOverlap="1">
            <wp:simplePos x="0" y="0"/>
            <wp:positionH relativeFrom="column">
              <wp:posOffset>193675</wp:posOffset>
            </wp:positionH>
            <wp:positionV relativeFrom="paragraph">
              <wp:posOffset>96520</wp:posOffset>
            </wp:positionV>
            <wp:extent cx="4856480" cy="1757045"/>
            <wp:effectExtent l="5080" t="4445" r="15240" b="6350"/>
            <wp:wrapTight wrapText="bothSides">
              <wp:wrapPolygon>
                <wp:start x="-23" y="-55"/>
                <wp:lineTo x="-23" y="21491"/>
                <wp:lineTo x="21532" y="21491"/>
                <wp:lineTo x="21532" y="-55"/>
                <wp:lineTo x="-23" y="-55"/>
              </wp:wrapPolygon>
            </wp:wrapTight>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420"/>
        <w:textAlignment w:val="auto"/>
        <w:rPr>
          <w:rFonts w:hint="default" w:ascii="Times New Roman" w:hAnsi="Times New Roman" w:eastAsia="仿宋_GB2312" w:cs="Times New Roman"/>
          <w:color w:val="auto"/>
          <w:sz w:val="32"/>
          <w:szCs w:val="32"/>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rightChars="0"/>
        <w:textAlignment w:val="auto"/>
        <w:rPr>
          <w:rFonts w:hint="default" w:ascii="Times New Roman" w:hAnsi="Times New Roman" w:eastAsia="仿宋_GB2312" w:cs="Times New Roman"/>
          <w:color w:val="auto"/>
          <w:sz w:val="32"/>
          <w:szCs w:val="32"/>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420"/>
        <w:textAlignment w:val="auto"/>
        <w:rPr>
          <w:rFonts w:hint="default" w:ascii="Times New Roman" w:hAnsi="Times New Roman" w:eastAsia="仿宋_GB2312" w:cs="Times New Roman"/>
          <w:color w:val="auto"/>
          <w:sz w:val="32"/>
          <w:szCs w:val="32"/>
          <w:lang w:eastAsia="zh-CN"/>
        </w:rPr>
      </w:pPr>
    </w:p>
    <w:p>
      <w:pPr>
        <w:spacing w:line="600" w:lineRule="exact"/>
        <w:ind w:firstLine="0" w:firstLineChars="0"/>
        <w:rPr>
          <w:rFonts w:hint="default" w:ascii="Times New Roman" w:hAnsi="Times New Roman" w:eastAsia="仿宋" w:cs="Times New Roman"/>
          <w:color w:val="auto"/>
          <w:w w:val="90"/>
          <w:sz w:val="28"/>
          <w:szCs w:val="28"/>
          <w:highlight w:val="none"/>
        </w:rPr>
      </w:pPr>
    </w:p>
    <w:p>
      <w:pPr>
        <w:spacing w:line="600" w:lineRule="exact"/>
        <w:ind w:firstLine="288" w:firstLineChars="100"/>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w w:val="90"/>
          <w:sz w:val="32"/>
          <w:szCs w:val="32"/>
          <w:highlight w:val="none"/>
        </w:rPr>
        <w:t>（图5：一般公共预算财政拨款支出决算变动情况）（柱状图）</w:t>
      </w:r>
    </w:p>
    <w:p>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56" w:name="_Toc15377211"/>
      <w:r>
        <w:rPr>
          <w:rFonts w:hint="default" w:ascii="Times New Roman" w:hAnsi="Times New Roman" w:eastAsia="仿宋" w:cs="Times New Roman"/>
          <w:b/>
          <w:color w:val="auto"/>
          <w:sz w:val="32"/>
          <w:szCs w:val="32"/>
          <w:highlight w:val="none"/>
        </w:rPr>
        <w:t>（二）一般公共预算财政拨款支出决算结构情况</w:t>
      </w:r>
      <w:bookmarkEnd w:id="56"/>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1338.56</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一般公共服务（类）</w:t>
      </w:r>
      <w:r>
        <w:rPr>
          <w:rFonts w:hint="default" w:ascii="Times New Roman" w:hAnsi="Times New Roman" w:eastAsia="仿宋" w:cs="Times New Roman"/>
          <w:color w:val="auto"/>
          <w:sz w:val="32"/>
          <w:szCs w:val="32"/>
          <w:highlight w:val="none"/>
        </w:rPr>
        <w:t>支出</w:t>
      </w:r>
      <w:r>
        <w:rPr>
          <w:rFonts w:hint="default" w:ascii="Times New Roman" w:hAnsi="Times New Roman" w:eastAsia="仿宋_GB2312" w:cs="Times New Roman"/>
          <w:sz w:val="32"/>
          <w:szCs w:val="32"/>
          <w:lang w:val="en-US" w:eastAsia="zh-CN"/>
        </w:rPr>
        <w:t>1263.32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94.3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社会保障和就业（类）</w:t>
      </w:r>
      <w:r>
        <w:rPr>
          <w:rFonts w:hint="default" w:ascii="Times New Roman" w:hAnsi="Times New Roman" w:eastAsia="仿宋" w:cs="Times New Roman"/>
          <w:color w:val="auto"/>
          <w:sz w:val="32"/>
          <w:szCs w:val="32"/>
          <w:highlight w:val="none"/>
        </w:rPr>
        <w:t>支出</w:t>
      </w:r>
      <w:r>
        <w:rPr>
          <w:rFonts w:hint="default" w:ascii="Times New Roman" w:hAnsi="Times New Roman" w:eastAsia="仿宋_GB2312" w:cs="Times New Roman"/>
          <w:sz w:val="32"/>
          <w:szCs w:val="32"/>
          <w:lang w:val="en-US" w:eastAsia="zh-CN"/>
        </w:rPr>
        <w:t>30.13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类</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_GB2312" w:cs="Times New Roman"/>
          <w:sz w:val="32"/>
          <w:szCs w:val="32"/>
          <w:lang w:val="en-US" w:eastAsia="zh-CN"/>
        </w:rPr>
        <w:t>14.83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1.1</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住房保障</w:t>
      </w:r>
      <w:r>
        <w:rPr>
          <w:rFonts w:hint="default" w:ascii="Times New Roman" w:hAnsi="Times New Roman" w:eastAsia="仿宋" w:cs="Times New Roman"/>
          <w:b/>
          <w:color w:val="auto"/>
          <w:sz w:val="32"/>
          <w:szCs w:val="32"/>
          <w:highlight w:val="none"/>
          <w:lang w:eastAsia="zh-CN"/>
        </w:rPr>
        <w:t>（</w:t>
      </w:r>
      <w:r>
        <w:rPr>
          <w:rFonts w:hint="default" w:ascii="Times New Roman" w:hAnsi="Times New Roman" w:eastAsia="仿宋" w:cs="Times New Roman"/>
          <w:b/>
          <w:color w:val="auto"/>
          <w:sz w:val="32"/>
          <w:szCs w:val="32"/>
          <w:highlight w:val="none"/>
          <w:lang w:val="en-US" w:eastAsia="zh-CN"/>
        </w:rPr>
        <w:t>类</w:t>
      </w:r>
      <w:r>
        <w:rPr>
          <w:rFonts w:hint="default" w:ascii="Times New Roman" w:hAnsi="Times New Roman" w:eastAsia="仿宋" w:cs="Times New Roman"/>
          <w:b/>
          <w:color w:val="auto"/>
          <w:sz w:val="32"/>
          <w:szCs w:val="32"/>
          <w:highlight w:val="none"/>
          <w:lang w:eastAsia="zh-CN"/>
        </w:rPr>
        <w:t>）</w:t>
      </w:r>
      <w:r>
        <w:rPr>
          <w:rFonts w:hint="default" w:ascii="Times New Roman" w:hAnsi="Times New Roman" w:eastAsia="仿宋" w:cs="Times New Roman"/>
          <w:b/>
          <w:color w:val="auto"/>
          <w:sz w:val="32"/>
          <w:szCs w:val="32"/>
          <w:highlight w:val="none"/>
        </w:rPr>
        <w:t>支出</w:t>
      </w:r>
      <w:r>
        <w:rPr>
          <w:rFonts w:hint="default" w:ascii="Times New Roman" w:hAnsi="Times New Roman" w:eastAsia="仿宋_GB2312" w:cs="Times New Roman"/>
          <w:sz w:val="32"/>
          <w:szCs w:val="32"/>
          <w:lang w:val="en-US" w:eastAsia="zh-CN"/>
        </w:rPr>
        <w:t>30.28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rPr>
        <w:t>。</w:t>
      </w:r>
    </w:p>
    <w:p>
      <w:pPr>
        <w:pStyle w:val="5"/>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anchor distT="0" distB="0" distL="114935" distR="114935" simplePos="0" relativeHeight="251665408" behindDoc="0" locked="0" layoutInCell="1" allowOverlap="1">
            <wp:simplePos x="0" y="0"/>
            <wp:positionH relativeFrom="column">
              <wp:posOffset>296545</wp:posOffset>
            </wp:positionH>
            <wp:positionV relativeFrom="paragraph">
              <wp:posOffset>134620</wp:posOffset>
            </wp:positionV>
            <wp:extent cx="4392295" cy="2570480"/>
            <wp:effectExtent l="4445" t="4445" r="7620" b="15875"/>
            <wp:wrapSquare wrapText="bothSides"/>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pStyle w:val="5"/>
        <w:rPr>
          <w:rFonts w:hint="default" w:ascii="Times New Roman" w:hAnsi="Times New Roman" w:eastAsia="仿宋" w:cs="Times New Roman"/>
          <w:color w:val="auto"/>
          <w:sz w:val="32"/>
          <w:szCs w:val="32"/>
          <w:highlight w:val="none"/>
        </w:rPr>
      </w:pPr>
    </w:p>
    <w:p>
      <w:pPr>
        <w:spacing w:line="600" w:lineRule="exact"/>
        <w:ind w:firstLine="56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28"/>
          <w:szCs w:val="28"/>
          <w:highlight w:val="none"/>
        </w:rPr>
        <w:t>（图6：一般公共预算财政拨款支出决算结构）（饼状图）</w:t>
      </w:r>
    </w:p>
    <w:p>
      <w:pPr>
        <w:spacing w:line="576" w:lineRule="exact"/>
        <w:ind w:firstLine="643" w:firstLineChars="200"/>
        <w:outlineLvl w:val="2"/>
        <w:rPr>
          <w:rFonts w:hint="default" w:ascii="Times New Roman" w:hAnsi="Times New Roman" w:eastAsia="楷体_GB2312" w:cs="Times New Roman"/>
          <w:b/>
          <w:color w:val="auto"/>
          <w:sz w:val="32"/>
          <w:szCs w:val="32"/>
          <w:highlight w:val="none"/>
        </w:rPr>
      </w:pPr>
      <w:bookmarkStart w:id="57" w:name="_Toc15377212"/>
      <w:r>
        <w:rPr>
          <w:rFonts w:hint="default" w:ascii="Times New Roman" w:hAnsi="Times New Roman" w:eastAsia="楷体_GB2312" w:cs="Times New Roman"/>
          <w:b/>
          <w:color w:val="auto"/>
          <w:sz w:val="32"/>
          <w:szCs w:val="32"/>
          <w:highlight w:val="none"/>
        </w:rPr>
        <w:t>（三）一般公共预算财政拨款支出决算具体情况</w:t>
      </w:r>
      <w:bookmarkEnd w:id="57"/>
    </w:p>
    <w:p>
      <w:pPr>
        <w:spacing w:line="576" w:lineRule="exact"/>
        <w:ind w:firstLine="640" w:firstLineChars="200"/>
        <w:outlineLvl w:val="1"/>
        <w:rPr>
          <w:rFonts w:hint="default" w:ascii="Times New Roman" w:hAnsi="Times New Roman" w:eastAsia="仿宋" w:cs="Times New Roman"/>
          <w:bCs/>
          <w:color w:val="auto"/>
          <w:sz w:val="32"/>
          <w:szCs w:val="32"/>
          <w:highlight w:val="none"/>
        </w:rPr>
      </w:pPr>
      <w:bookmarkStart w:id="58" w:name="_Toc15377444"/>
      <w:bookmarkStart w:id="59" w:name="_Toc15377213"/>
      <w:bookmarkStart w:id="60" w:name="_Toc15378460"/>
      <w:bookmarkStart w:id="61" w:name="_Toc8105"/>
      <w:r>
        <w:rPr>
          <w:rFonts w:hint="default" w:ascii="Times New Roman" w:hAnsi="Times New Roman" w:eastAsia="仿宋" w:cs="Times New Roman"/>
          <w:b w:val="0"/>
          <w:bCs/>
          <w:color w:val="auto"/>
          <w:sz w:val="32"/>
          <w:szCs w:val="32"/>
          <w:highlight w:val="none"/>
        </w:rPr>
        <w:t>20</w:t>
      </w:r>
      <w:r>
        <w:rPr>
          <w:rFonts w:hint="default" w:ascii="Times New Roman" w:hAnsi="Times New Roman" w:eastAsia="仿宋" w:cs="Times New Roman"/>
          <w:b w:val="0"/>
          <w:bCs/>
          <w:color w:val="auto"/>
          <w:sz w:val="32"/>
          <w:szCs w:val="32"/>
          <w:highlight w:val="none"/>
          <w:lang w:val="en-US" w:eastAsia="zh-CN"/>
        </w:rPr>
        <w:t>21</w:t>
      </w:r>
      <w:r>
        <w:rPr>
          <w:rFonts w:hint="default" w:ascii="Times New Roman" w:hAnsi="Times New Roman" w:eastAsia="仿宋" w:cs="Times New Roman"/>
          <w:b w:val="0"/>
          <w:bCs/>
          <w:color w:val="auto"/>
          <w:sz w:val="32"/>
          <w:szCs w:val="32"/>
          <w:highlight w:val="none"/>
        </w:rPr>
        <w:t>年</w:t>
      </w:r>
      <w:r>
        <w:rPr>
          <w:rFonts w:hint="default" w:ascii="Times New Roman" w:hAnsi="Times New Roman" w:eastAsia="仿宋" w:cs="Times New Roman"/>
          <w:b w:val="0"/>
          <w:bCs/>
          <w:color w:val="auto"/>
          <w:sz w:val="32"/>
          <w:szCs w:val="32"/>
          <w:highlight w:val="none"/>
          <w:lang w:eastAsia="zh-CN"/>
        </w:rPr>
        <w:t>一</w:t>
      </w:r>
      <w:r>
        <w:rPr>
          <w:rFonts w:hint="default" w:ascii="Times New Roman" w:hAnsi="Times New Roman" w:eastAsia="仿宋" w:cs="Times New Roman"/>
          <w:b w:val="0"/>
          <w:bCs/>
          <w:color w:val="auto"/>
          <w:sz w:val="32"/>
          <w:szCs w:val="32"/>
          <w:highlight w:val="none"/>
        </w:rPr>
        <w:t>般公共预算支出决算数为</w:t>
      </w:r>
      <w:r>
        <w:rPr>
          <w:rFonts w:hint="default" w:ascii="Times New Roman" w:hAnsi="Times New Roman" w:eastAsia="仿宋" w:cs="Times New Roman"/>
          <w:b w:val="0"/>
          <w:bCs/>
          <w:color w:val="auto"/>
          <w:sz w:val="32"/>
          <w:szCs w:val="32"/>
          <w:highlight w:val="none"/>
          <w:lang w:val="en-US" w:eastAsia="zh-CN"/>
        </w:rPr>
        <w:t>1338.56</w:t>
      </w:r>
      <w:r>
        <w:rPr>
          <w:rFonts w:hint="default" w:ascii="Times New Roman" w:hAnsi="Times New Roman" w:eastAsia="仿宋" w:cs="Times New Roman"/>
          <w:bCs/>
          <w:color w:val="auto"/>
          <w:sz w:val="32"/>
          <w:szCs w:val="32"/>
          <w:highlight w:val="none"/>
        </w:rPr>
        <w:t>，</w:t>
      </w:r>
      <w:r>
        <w:rPr>
          <w:rStyle w:val="13"/>
          <w:rFonts w:hint="default" w:ascii="Times New Roman" w:hAnsi="Times New Roman" w:eastAsia="仿宋" w:cs="Times New Roman"/>
          <w:b w:val="0"/>
          <w:bCs/>
          <w:color w:val="auto"/>
          <w:sz w:val="32"/>
          <w:szCs w:val="32"/>
          <w:highlight w:val="none"/>
        </w:rPr>
        <w:t>完成预算</w:t>
      </w:r>
      <w:r>
        <w:rPr>
          <w:rStyle w:val="13"/>
          <w:rFonts w:hint="default" w:ascii="Times New Roman" w:hAnsi="Times New Roman" w:eastAsia="仿宋" w:cs="Times New Roman"/>
          <w:b w:val="0"/>
          <w:bCs/>
          <w:color w:val="auto"/>
          <w:sz w:val="32"/>
          <w:szCs w:val="32"/>
          <w:highlight w:val="none"/>
          <w:lang w:val="en-US" w:eastAsia="zh-CN"/>
        </w:rPr>
        <w:t>100</w:t>
      </w:r>
      <w:r>
        <w:rPr>
          <w:rStyle w:val="13"/>
          <w:rFonts w:hint="default" w:ascii="Times New Roman" w:hAnsi="Times New Roman" w:eastAsia="仿宋" w:cs="Times New Roman"/>
          <w:b w:val="0"/>
          <w:bCs/>
          <w:color w:val="auto"/>
          <w:sz w:val="32"/>
          <w:szCs w:val="32"/>
          <w:highlight w:val="none"/>
        </w:rPr>
        <w:t>%</w:t>
      </w:r>
      <w:r>
        <w:rPr>
          <w:rStyle w:val="13"/>
          <w:rFonts w:hint="default" w:ascii="Times New Roman" w:hAnsi="Times New Roman" w:eastAsia="仿宋" w:cs="Times New Roman"/>
          <w:b w:val="0"/>
          <w:bCs/>
          <w:color w:val="auto"/>
          <w:sz w:val="32"/>
          <w:szCs w:val="32"/>
          <w:highlight w:val="none"/>
        </w:rPr>
        <w:t>。其中：</w:t>
      </w:r>
      <w:bookmarkEnd w:id="58"/>
      <w:bookmarkEnd w:id="59"/>
      <w:bookmarkEnd w:id="60"/>
      <w:bookmarkEnd w:id="61"/>
    </w:p>
    <w:p>
      <w:pPr>
        <w:spacing w:line="576" w:lineRule="exact"/>
        <w:ind w:firstLine="643" w:firstLineChars="200"/>
        <w:rPr>
          <w:rStyle w:val="13"/>
          <w:rFonts w:hint="default" w:ascii="Times New Roman" w:hAnsi="Times New Roman" w:eastAsia="仿宋_GB2312" w:cs="Times New Roman"/>
          <w:b w:val="0"/>
          <w:bCs w:val="0"/>
          <w:color w:val="auto"/>
          <w:sz w:val="32"/>
          <w:szCs w:val="32"/>
          <w:highlight w:val="none"/>
          <w:lang w:eastAsia="zh-CN"/>
        </w:rPr>
      </w:pPr>
      <w:r>
        <w:rPr>
          <w:rStyle w:val="13"/>
          <w:rFonts w:hint="default" w:ascii="Times New Roman" w:hAnsi="Times New Roman" w:eastAsia="仿宋" w:cs="Times New Roman"/>
          <w:bCs/>
          <w:color w:val="auto"/>
          <w:sz w:val="32"/>
          <w:szCs w:val="32"/>
          <w:highlight w:val="none"/>
        </w:rPr>
        <w:t>1.</w:t>
      </w:r>
      <w:r>
        <w:rPr>
          <w:rStyle w:val="13"/>
          <w:rFonts w:hint="default" w:ascii="Times New Roman" w:hAnsi="Times New Roman" w:eastAsia="仿宋_GB2312" w:cs="Times New Roman"/>
          <w:b w:val="0"/>
          <w:bCs w:val="0"/>
          <w:color w:val="auto"/>
          <w:sz w:val="32"/>
          <w:szCs w:val="32"/>
          <w:highlight w:val="none"/>
        </w:rPr>
        <w:t>一般公共服务（类）</w:t>
      </w:r>
      <w:r>
        <w:rPr>
          <w:rStyle w:val="13"/>
          <w:rFonts w:hint="default" w:ascii="Times New Roman" w:hAnsi="Times New Roman" w:eastAsia="仿宋_GB2312" w:cs="Times New Roman"/>
          <w:b w:val="0"/>
          <w:bCs w:val="0"/>
          <w:color w:val="000000"/>
          <w:sz w:val="32"/>
          <w:szCs w:val="32"/>
          <w:lang w:val="en-US" w:eastAsia="zh-CN"/>
        </w:rPr>
        <w:t>政府办公厅（室）及相关机构事务</w:t>
      </w:r>
      <w:r>
        <w:rPr>
          <w:rStyle w:val="13"/>
          <w:rFonts w:hint="default" w:ascii="Times New Roman" w:hAnsi="Times New Roman" w:eastAsia="仿宋_GB2312" w:cs="Times New Roman"/>
          <w:b w:val="0"/>
          <w:bCs w:val="0"/>
          <w:color w:val="auto"/>
          <w:sz w:val="32"/>
          <w:szCs w:val="32"/>
          <w:highlight w:val="none"/>
        </w:rPr>
        <w:t>（款）</w:t>
      </w:r>
      <w:r>
        <w:rPr>
          <w:rStyle w:val="13"/>
          <w:rFonts w:hint="default" w:ascii="Times New Roman" w:hAnsi="Times New Roman" w:eastAsia="仿宋_GB2312" w:cs="Times New Roman"/>
          <w:b w:val="0"/>
          <w:bCs w:val="0"/>
          <w:color w:val="000000"/>
          <w:sz w:val="32"/>
          <w:szCs w:val="32"/>
          <w:lang w:val="en-US" w:eastAsia="zh-CN"/>
        </w:rPr>
        <w:t>事业运行</w:t>
      </w:r>
      <w:r>
        <w:rPr>
          <w:rStyle w:val="13"/>
          <w:rFonts w:hint="default" w:ascii="Times New Roman" w:hAnsi="Times New Roman" w:eastAsia="仿宋_GB2312" w:cs="Times New Roman"/>
          <w:b w:val="0"/>
          <w:bCs w:val="0"/>
          <w:color w:val="auto"/>
          <w:sz w:val="32"/>
          <w:szCs w:val="32"/>
          <w:highlight w:val="none"/>
        </w:rPr>
        <w:t>（项）: 支出决算为</w:t>
      </w:r>
      <w:r>
        <w:rPr>
          <w:rFonts w:hint="default" w:ascii="Times New Roman" w:hAnsi="Times New Roman" w:eastAsia="仿宋_GB2312" w:cs="Times New Roman"/>
          <w:b w:val="0"/>
          <w:bCs w:val="0"/>
          <w:sz w:val="32"/>
          <w:szCs w:val="32"/>
          <w:lang w:val="en-US" w:eastAsia="zh-CN"/>
        </w:rPr>
        <w:t>1263.32</w:t>
      </w:r>
      <w:r>
        <w:rPr>
          <w:rStyle w:val="13"/>
          <w:rFonts w:hint="default" w:ascii="Times New Roman" w:hAnsi="Times New Roman" w:eastAsia="仿宋_GB2312" w:cs="Times New Roman"/>
          <w:b w:val="0"/>
          <w:bCs w:val="0"/>
          <w:color w:val="auto"/>
          <w:sz w:val="32"/>
          <w:szCs w:val="32"/>
          <w:highlight w:val="none"/>
        </w:rPr>
        <w:t>万元，完成预算</w:t>
      </w:r>
      <w:r>
        <w:rPr>
          <w:rStyle w:val="13"/>
          <w:rFonts w:hint="default" w:ascii="Times New Roman" w:hAnsi="Times New Roman" w:eastAsia="仿宋_GB2312" w:cs="Times New Roman"/>
          <w:b w:val="0"/>
          <w:bCs w:val="0"/>
          <w:color w:val="auto"/>
          <w:sz w:val="32"/>
          <w:szCs w:val="32"/>
          <w:highlight w:val="none"/>
          <w:lang w:val="en-US" w:eastAsia="zh-CN"/>
        </w:rPr>
        <w:t>100</w:t>
      </w:r>
      <w:r>
        <w:rPr>
          <w:rStyle w:val="13"/>
          <w:rFonts w:hint="default" w:ascii="Times New Roman" w:hAnsi="Times New Roman" w:eastAsia="仿宋_GB2312" w:cs="Times New Roman"/>
          <w:b w:val="0"/>
          <w:bCs w:val="0"/>
          <w:color w:val="auto"/>
          <w:sz w:val="32"/>
          <w:szCs w:val="32"/>
          <w:highlight w:val="none"/>
        </w:rPr>
        <w:t>%</w:t>
      </w:r>
      <w:r>
        <w:rPr>
          <w:rStyle w:val="13"/>
          <w:rFonts w:hint="default" w:ascii="Times New Roman" w:hAnsi="Times New Roman" w:eastAsia="仿宋_GB2312" w:cs="Times New Roman"/>
          <w:b w:val="0"/>
          <w:bCs w:val="0"/>
          <w:color w:val="auto"/>
          <w:sz w:val="32"/>
          <w:szCs w:val="32"/>
          <w:highlight w:val="none"/>
          <w:lang w:eastAsia="zh-CN"/>
        </w:rPr>
        <w:t>；</w:t>
      </w:r>
    </w:p>
    <w:p>
      <w:pPr>
        <w:spacing w:line="576"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Style w:val="13"/>
          <w:rFonts w:hint="default" w:ascii="Times New Roman" w:hAnsi="Times New Roman" w:eastAsia="仿宋_GB2312" w:cs="Times New Roman"/>
          <w:b w:val="0"/>
          <w:bCs w:val="0"/>
          <w:color w:val="auto"/>
          <w:sz w:val="32"/>
          <w:szCs w:val="32"/>
          <w:highlight w:val="none"/>
          <w:lang w:val="en-US" w:eastAsia="zh-CN"/>
        </w:rPr>
        <w:t>2</w:t>
      </w:r>
      <w:r>
        <w:rPr>
          <w:rStyle w:val="13"/>
          <w:rFonts w:hint="default" w:ascii="Times New Roman" w:hAnsi="Times New Roman" w:eastAsia="仿宋_GB2312" w:cs="Times New Roman"/>
          <w:b w:val="0"/>
          <w:bCs w:val="0"/>
          <w:color w:val="auto"/>
          <w:sz w:val="32"/>
          <w:szCs w:val="32"/>
          <w:highlight w:val="none"/>
        </w:rPr>
        <w:t>.社会保障和就业（类）</w:t>
      </w:r>
      <w:r>
        <w:rPr>
          <w:rStyle w:val="13"/>
          <w:rFonts w:hint="default" w:ascii="Times New Roman" w:hAnsi="Times New Roman" w:eastAsia="仿宋_GB2312" w:cs="Times New Roman"/>
          <w:b w:val="0"/>
          <w:bCs w:val="0"/>
          <w:color w:val="000000"/>
          <w:sz w:val="32"/>
          <w:szCs w:val="32"/>
          <w:lang w:eastAsia="zh-CN"/>
        </w:rPr>
        <w:t>行政事业单位离退休</w:t>
      </w:r>
      <w:r>
        <w:rPr>
          <w:rStyle w:val="13"/>
          <w:rFonts w:hint="default" w:ascii="Times New Roman" w:hAnsi="Times New Roman" w:eastAsia="仿宋_GB2312" w:cs="Times New Roman"/>
          <w:b w:val="0"/>
          <w:bCs w:val="0"/>
          <w:color w:val="auto"/>
          <w:sz w:val="32"/>
          <w:szCs w:val="32"/>
          <w:highlight w:val="none"/>
        </w:rPr>
        <w:t>（款）</w:t>
      </w:r>
      <w:r>
        <w:rPr>
          <w:rStyle w:val="13"/>
          <w:rFonts w:hint="default" w:ascii="Times New Roman" w:hAnsi="Times New Roman" w:eastAsia="仿宋_GB2312" w:cs="Times New Roman"/>
          <w:b w:val="0"/>
          <w:bCs w:val="0"/>
          <w:color w:val="000000"/>
          <w:sz w:val="32"/>
          <w:szCs w:val="32"/>
          <w:lang w:eastAsia="zh-CN"/>
        </w:rPr>
        <w:t>机关事业单位基本养老保险缴费支出</w:t>
      </w:r>
      <w:r>
        <w:rPr>
          <w:rStyle w:val="13"/>
          <w:rFonts w:hint="default" w:ascii="Times New Roman" w:hAnsi="Times New Roman" w:eastAsia="仿宋_GB2312" w:cs="Times New Roman"/>
          <w:b w:val="0"/>
          <w:bCs w:val="0"/>
          <w:color w:val="auto"/>
          <w:sz w:val="32"/>
          <w:szCs w:val="32"/>
          <w:highlight w:val="none"/>
        </w:rPr>
        <w:t>（项）: 支出决算为</w:t>
      </w:r>
      <w:r>
        <w:rPr>
          <w:rFonts w:hint="default" w:ascii="Times New Roman" w:hAnsi="Times New Roman" w:eastAsia="仿宋_GB2312" w:cs="Times New Roman"/>
          <w:b w:val="0"/>
          <w:bCs w:val="0"/>
          <w:sz w:val="32"/>
          <w:szCs w:val="32"/>
          <w:lang w:val="en-US" w:eastAsia="zh-CN"/>
        </w:rPr>
        <w:t>30.13</w:t>
      </w:r>
      <w:r>
        <w:rPr>
          <w:rStyle w:val="13"/>
          <w:rFonts w:hint="default" w:ascii="Times New Roman" w:hAnsi="Times New Roman" w:eastAsia="仿宋_GB2312" w:cs="Times New Roman"/>
          <w:b w:val="0"/>
          <w:bCs w:val="0"/>
          <w:color w:val="auto"/>
          <w:sz w:val="32"/>
          <w:szCs w:val="32"/>
          <w:highlight w:val="none"/>
        </w:rPr>
        <w:t>万元，完成预算</w:t>
      </w:r>
      <w:r>
        <w:rPr>
          <w:rStyle w:val="13"/>
          <w:rFonts w:hint="default" w:ascii="Times New Roman" w:hAnsi="Times New Roman" w:eastAsia="仿宋_GB2312" w:cs="Times New Roman"/>
          <w:b w:val="0"/>
          <w:bCs w:val="0"/>
          <w:color w:val="auto"/>
          <w:sz w:val="32"/>
          <w:szCs w:val="32"/>
          <w:highlight w:val="none"/>
          <w:lang w:val="en-US" w:eastAsia="zh-CN"/>
        </w:rPr>
        <w:t>100</w:t>
      </w:r>
      <w:r>
        <w:rPr>
          <w:rStyle w:val="13"/>
          <w:rFonts w:hint="default" w:ascii="Times New Roman" w:hAnsi="Times New Roman" w:eastAsia="仿宋_GB2312" w:cs="Times New Roman"/>
          <w:b w:val="0"/>
          <w:bCs w:val="0"/>
          <w:color w:val="auto"/>
          <w:sz w:val="32"/>
          <w:szCs w:val="32"/>
          <w:highlight w:val="none"/>
        </w:rPr>
        <w:t>%</w:t>
      </w:r>
      <w:r>
        <w:rPr>
          <w:rStyle w:val="13"/>
          <w:rFonts w:hint="default" w:ascii="Times New Roman" w:hAnsi="Times New Roman" w:eastAsia="仿宋_GB2312" w:cs="Times New Roman"/>
          <w:b w:val="0"/>
          <w:bCs w:val="0"/>
          <w:color w:val="auto"/>
          <w:sz w:val="32"/>
          <w:szCs w:val="32"/>
          <w:highlight w:val="none"/>
          <w:lang w:eastAsia="zh-CN"/>
        </w:rPr>
        <w:t>；</w:t>
      </w:r>
    </w:p>
    <w:p>
      <w:pPr>
        <w:spacing w:line="576"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Style w:val="13"/>
          <w:rFonts w:hint="default" w:ascii="Times New Roman" w:hAnsi="Times New Roman" w:eastAsia="仿宋_GB2312" w:cs="Times New Roman"/>
          <w:b w:val="0"/>
          <w:bCs w:val="0"/>
          <w:color w:val="auto"/>
          <w:sz w:val="32"/>
          <w:szCs w:val="32"/>
          <w:highlight w:val="none"/>
          <w:lang w:val="en-US" w:eastAsia="zh-CN"/>
        </w:rPr>
        <w:t>3</w:t>
      </w:r>
      <w:r>
        <w:rPr>
          <w:rStyle w:val="13"/>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卫生健康</w:t>
      </w:r>
      <w:r>
        <w:rPr>
          <w:rStyle w:val="13"/>
          <w:rFonts w:hint="default" w:ascii="Times New Roman" w:hAnsi="Times New Roman" w:eastAsia="仿宋_GB2312" w:cs="Times New Roman"/>
          <w:b w:val="0"/>
          <w:bCs w:val="0"/>
          <w:color w:val="auto"/>
          <w:sz w:val="32"/>
          <w:szCs w:val="32"/>
          <w:highlight w:val="none"/>
        </w:rPr>
        <w:t>（类）</w:t>
      </w:r>
      <w:r>
        <w:rPr>
          <w:rStyle w:val="13"/>
          <w:rFonts w:hint="default" w:ascii="Times New Roman" w:hAnsi="Times New Roman" w:eastAsia="仿宋_GB2312" w:cs="Times New Roman"/>
          <w:b w:val="0"/>
          <w:bCs w:val="0"/>
          <w:color w:val="000000"/>
          <w:sz w:val="32"/>
          <w:szCs w:val="32"/>
          <w:lang w:eastAsia="zh-CN"/>
        </w:rPr>
        <w:t>行政事业单位医疗</w:t>
      </w:r>
      <w:r>
        <w:rPr>
          <w:rStyle w:val="13"/>
          <w:rFonts w:hint="default" w:ascii="Times New Roman" w:hAnsi="Times New Roman" w:eastAsia="仿宋_GB2312" w:cs="Times New Roman"/>
          <w:b w:val="0"/>
          <w:bCs w:val="0"/>
          <w:color w:val="auto"/>
          <w:sz w:val="32"/>
          <w:szCs w:val="32"/>
          <w:highlight w:val="none"/>
        </w:rPr>
        <w:t>（款）</w:t>
      </w:r>
      <w:r>
        <w:rPr>
          <w:rStyle w:val="13"/>
          <w:rFonts w:hint="default" w:ascii="Times New Roman" w:hAnsi="Times New Roman" w:eastAsia="仿宋_GB2312" w:cs="Times New Roman"/>
          <w:b w:val="0"/>
          <w:bCs w:val="0"/>
          <w:color w:val="000000"/>
          <w:sz w:val="32"/>
          <w:szCs w:val="32"/>
          <w:lang w:eastAsia="zh-CN"/>
        </w:rPr>
        <w:t>事业单位医疗</w:t>
      </w:r>
      <w:r>
        <w:rPr>
          <w:rStyle w:val="13"/>
          <w:rFonts w:hint="default" w:ascii="Times New Roman" w:hAnsi="Times New Roman" w:eastAsia="仿宋_GB2312" w:cs="Times New Roman"/>
          <w:b w:val="0"/>
          <w:bCs w:val="0"/>
          <w:color w:val="auto"/>
          <w:sz w:val="32"/>
          <w:szCs w:val="32"/>
          <w:highlight w:val="none"/>
        </w:rPr>
        <w:t>（项）:支出决算为</w:t>
      </w:r>
      <w:r>
        <w:rPr>
          <w:rFonts w:hint="default" w:ascii="Times New Roman" w:hAnsi="Times New Roman" w:eastAsia="仿宋_GB2312" w:cs="Times New Roman"/>
          <w:b w:val="0"/>
          <w:bCs w:val="0"/>
          <w:sz w:val="32"/>
          <w:szCs w:val="32"/>
          <w:lang w:val="en-US" w:eastAsia="zh-CN"/>
        </w:rPr>
        <w:t>14.83</w:t>
      </w:r>
      <w:r>
        <w:rPr>
          <w:rStyle w:val="13"/>
          <w:rFonts w:hint="default" w:ascii="Times New Roman" w:hAnsi="Times New Roman" w:eastAsia="仿宋_GB2312" w:cs="Times New Roman"/>
          <w:b w:val="0"/>
          <w:bCs w:val="0"/>
          <w:color w:val="auto"/>
          <w:sz w:val="32"/>
          <w:szCs w:val="32"/>
          <w:highlight w:val="none"/>
        </w:rPr>
        <w:t>万元，完成预算</w:t>
      </w:r>
      <w:r>
        <w:rPr>
          <w:rStyle w:val="13"/>
          <w:rFonts w:hint="default" w:ascii="Times New Roman" w:hAnsi="Times New Roman" w:eastAsia="仿宋_GB2312" w:cs="Times New Roman"/>
          <w:b w:val="0"/>
          <w:bCs w:val="0"/>
          <w:color w:val="auto"/>
          <w:sz w:val="32"/>
          <w:szCs w:val="32"/>
          <w:highlight w:val="none"/>
          <w:lang w:val="en-US" w:eastAsia="zh-CN"/>
        </w:rPr>
        <w:t>100</w:t>
      </w:r>
      <w:r>
        <w:rPr>
          <w:rStyle w:val="13"/>
          <w:rFonts w:hint="default" w:ascii="Times New Roman" w:hAnsi="Times New Roman" w:eastAsia="仿宋_GB2312" w:cs="Times New Roman"/>
          <w:b w:val="0"/>
          <w:bCs w:val="0"/>
          <w:color w:val="auto"/>
          <w:sz w:val="32"/>
          <w:szCs w:val="32"/>
          <w:highlight w:val="none"/>
        </w:rPr>
        <w:t>%</w:t>
      </w:r>
      <w:r>
        <w:rPr>
          <w:rStyle w:val="13"/>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bidi w:val="0"/>
        <w:spacing w:beforeAutospacing="0" w:afterAutospacing="0"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Style w:val="13"/>
          <w:rFonts w:hint="default" w:ascii="Times New Roman" w:hAnsi="Times New Roman" w:eastAsia="仿宋_GB2312" w:cs="Times New Roman"/>
          <w:b w:val="0"/>
          <w:bCs w:val="0"/>
          <w:color w:val="000000"/>
          <w:sz w:val="32"/>
          <w:szCs w:val="32"/>
          <w:lang w:val="en-US" w:eastAsia="zh-CN"/>
        </w:rPr>
        <w:t>4</w:t>
      </w:r>
      <w:r>
        <w:rPr>
          <w:rStyle w:val="13"/>
          <w:rFonts w:hint="default" w:ascii="Times New Roman" w:hAnsi="Times New Roman" w:eastAsia="仿宋_GB2312" w:cs="Times New Roman"/>
          <w:b w:val="0"/>
          <w:bCs w:val="0"/>
          <w:color w:val="000000"/>
          <w:sz w:val="32"/>
          <w:szCs w:val="32"/>
        </w:rPr>
        <w:t>.</w:t>
      </w:r>
      <w:r>
        <w:rPr>
          <w:rStyle w:val="13"/>
          <w:rFonts w:hint="default" w:ascii="Times New Roman" w:hAnsi="Times New Roman" w:eastAsia="仿宋_GB2312" w:cs="Times New Roman"/>
          <w:b w:val="0"/>
          <w:bCs w:val="0"/>
          <w:color w:val="000000"/>
          <w:sz w:val="32"/>
          <w:szCs w:val="32"/>
          <w:lang w:eastAsia="zh-CN"/>
        </w:rPr>
        <w:t>住房保障支出（类）住房改革支出（款）住房公积金（项）：支出决算为</w:t>
      </w:r>
      <w:r>
        <w:rPr>
          <w:rFonts w:hint="default" w:ascii="Times New Roman" w:hAnsi="Times New Roman" w:eastAsia="仿宋_GB2312" w:cs="Times New Roman"/>
          <w:b w:val="0"/>
          <w:bCs w:val="0"/>
          <w:sz w:val="32"/>
          <w:szCs w:val="32"/>
          <w:lang w:val="en-US" w:eastAsia="zh-CN"/>
        </w:rPr>
        <w:t>30.28</w:t>
      </w:r>
      <w:r>
        <w:rPr>
          <w:rStyle w:val="13"/>
          <w:rFonts w:hint="default" w:ascii="Times New Roman" w:hAnsi="Times New Roman" w:eastAsia="仿宋_GB2312" w:cs="Times New Roman"/>
          <w:b w:val="0"/>
          <w:bCs w:val="0"/>
          <w:color w:val="000000"/>
          <w:sz w:val="32"/>
          <w:szCs w:val="32"/>
          <w:lang w:val="en-US" w:eastAsia="zh-CN"/>
        </w:rPr>
        <w:t>万元，完成预算100%。</w:t>
      </w:r>
    </w:p>
    <w:p>
      <w:pPr>
        <w:tabs>
          <w:tab w:val="right" w:pos="8306"/>
        </w:tabs>
        <w:spacing w:line="576" w:lineRule="exact"/>
        <w:ind w:firstLine="640"/>
        <w:outlineLvl w:val="1"/>
        <w:rPr>
          <w:rStyle w:val="16"/>
          <w:rFonts w:hint="default" w:ascii="Times New Roman" w:hAnsi="Times New Roman" w:cs="Times New Roman"/>
          <w:color w:val="auto"/>
          <w:highlight w:val="none"/>
        </w:rPr>
      </w:pPr>
      <w:bookmarkStart w:id="62" w:name="_Toc15396608"/>
      <w:bookmarkStart w:id="63" w:name="_Toc15377214"/>
      <w:bookmarkStart w:id="64" w:name="_Toc10524"/>
      <w:bookmarkStart w:id="65" w:name="_Toc32559"/>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w:t>
      </w:r>
      <w:r>
        <w:rPr>
          <w:rFonts w:hint="default" w:ascii="Times New Roman" w:hAnsi="Times New Roman" w:eastAsia="黑体" w:cs="Times New Roman"/>
          <w:b/>
          <w:color w:val="auto"/>
          <w:sz w:val="32"/>
          <w:szCs w:val="32"/>
          <w:highlight w:val="none"/>
        </w:rPr>
        <w:t>一</w:t>
      </w:r>
      <w:r>
        <w:rPr>
          <w:rStyle w:val="16"/>
          <w:rFonts w:hint="default" w:ascii="Times New Roman" w:hAnsi="Times New Roman" w:eastAsia="黑体" w:cs="Times New Roman"/>
          <w:b w:val="0"/>
          <w:color w:val="auto"/>
          <w:highlight w:val="none"/>
        </w:rPr>
        <w:t>般公共预算财政拨款基本支出决算情况说明</w:t>
      </w:r>
      <w:bookmarkEnd w:id="62"/>
      <w:bookmarkEnd w:id="63"/>
      <w:bookmarkEnd w:id="64"/>
      <w:bookmarkEnd w:id="65"/>
      <w:r>
        <w:rPr>
          <w:rStyle w:val="16"/>
          <w:rFonts w:hint="default" w:ascii="Times New Roman" w:hAnsi="Times New Roman" w:eastAsia="黑体" w:cs="Times New Roman"/>
          <w:b w:val="0"/>
          <w:color w:val="auto"/>
          <w:highlight w:val="none"/>
        </w:rPr>
        <w:tab/>
      </w:r>
    </w:p>
    <w:p>
      <w:pPr>
        <w:spacing w:line="576"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年一般公共预算财政拨款基本支出</w:t>
      </w:r>
      <w:r>
        <w:rPr>
          <w:rFonts w:hint="default" w:ascii="Times New Roman" w:hAnsi="Times New Roman" w:eastAsia="仿宋_GB2312" w:cs="Times New Roman"/>
          <w:color w:val="auto"/>
          <w:sz w:val="32"/>
          <w:szCs w:val="32"/>
          <w:highlight w:val="none"/>
          <w:lang w:val="en-US" w:eastAsia="zh-CN"/>
        </w:rPr>
        <w:t>1338.56</w:t>
      </w:r>
      <w:r>
        <w:rPr>
          <w:rFonts w:hint="default" w:ascii="Times New Roman" w:hAnsi="Times New Roman" w:eastAsia="仿宋_GB2312" w:cs="Times New Roman"/>
          <w:color w:val="auto"/>
          <w:sz w:val="32"/>
          <w:szCs w:val="32"/>
          <w:highlight w:val="none"/>
        </w:rPr>
        <w:t>万元，其中：</w:t>
      </w:r>
    </w:p>
    <w:p>
      <w:pPr>
        <w:keepNext w:val="0"/>
        <w:keepLines w:val="0"/>
        <w:pageBreakBefore w:val="0"/>
        <w:kinsoku/>
        <w:wordWrap/>
        <w:overflowPunct/>
        <w:topLinePunct w:val="0"/>
        <w:bidi w:val="0"/>
        <w:snapToGrid w:val="0"/>
        <w:spacing w:beforeAutospacing="0" w:afterAutospacing="0"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rPr>
        <w:t>人员经费</w:t>
      </w:r>
      <w:r>
        <w:rPr>
          <w:rFonts w:hint="default" w:ascii="Times New Roman" w:hAnsi="Times New Roman" w:eastAsia="仿宋_GB2312" w:cs="Times New Roman"/>
          <w:sz w:val="32"/>
          <w:szCs w:val="32"/>
          <w:lang w:val="en-US" w:eastAsia="zh-CN"/>
        </w:rPr>
        <w:t>307.45</w:t>
      </w:r>
      <w:r>
        <w:rPr>
          <w:rFonts w:hint="default" w:ascii="Times New Roman" w:hAnsi="Times New Roman" w:eastAsia="仿宋_GB2312" w:cs="Times New Roman"/>
          <w:color w:val="auto"/>
          <w:sz w:val="32"/>
          <w:szCs w:val="32"/>
          <w:highlight w:val="none"/>
        </w:rPr>
        <w:t>万元，主要包括：</w:t>
      </w:r>
      <w:r>
        <w:rPr>
          <w:rFonts w:hint="default" w:ascii="Times New Roman" w:hAnsi="Times New Roman" w:eastAsia="仿宋_GB2312" w:cs="Times New Roman"/>
          <w:sz w:val="32"/>
          <w:szCs w:val="32"/>
        </w:rPr>
        <w:t>基本工资、津贴补贴、绩效工资、机关事业单位基本养老保险缴费、职业年金缴费、其他社会保障缴费、住房公积金。</w:t>
      </w:r>
    </w:p>
    <w:p>
      <w:pPr>
        <w:keepNext w:val="0"/>
        <w:keepLines w:val="0"/>
        <w:pageBreakBefore w:val="0"/>
        <w:kinsoku/>
        <w:wordWrap/>
        <w:overflowPunct/>
        <w:topLinePunct w:val="0"/>
        <w:bidi w:val="0"/>
        <w:snapToGrid w:val="0"/>
        <w:spacing w:beforeAutospacing="0" w:afterAutospacing="0"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公用经费</w:t>
      </w:r>
      <w:r>
        <w:rPr>
          <w:rFonts w:hint="default" w:ascii="Times New Roman" w:hAnsi="Times New Roman" w:eastAsia="仿宋_GB2312" w:cs="Times New Roman"/>
          <w:sz w:val="32"/>
          <w:szCs w:val="32"/>
          <w:lang w:val="en-US" w:eastAsia="zh-CN"/>
        </w:rPr>
        <w:t>1031.11</w:t>
      </w:r>
      <w:r>
        <w:rPr>
          <w:rFonts w:hint="default" w:ascii="Times New Roman" w:hAnsi="Times New Roman" w:eastAsia="仿宋_GB2312" w:cs="Times New Roman"/>
          <w:color w:val="auto"/>
          <w:sz w:val="32"/>
          <w:szCs w:val="32"/>
          <w:highlight w:val="none"/>
        </w:rPr>
        <w:t>万元，主要包括：</w:t>
      </w:r>
      <w:r>
        <w:rPr>
          <w:rFonts w:hint="default" w:ascii="Times New Roman" w:hAnsi="Times New Roman" w:eastAsia="仿宋_GB2312" w:cs="Times New Roman"/>
          <w:sz w:val="32"/>
          <w:szCs w:val="32"/>
        </w:rPr>
        <w:t>办公费、印刷费、</w:t>
      </w:r>
      <w:r>
        <w:rPr>
          <w:rFonts w:hint="default" w:ascii="Times New Roman" w:hAnsi="Times New Roman" w:eastAsia="仿宋_GB2312" w:cs="Times New Roman"/>
          <w:sz w:val="32"/>
          <w:szCs w:val="32"/>
          <w:lang w:eastAsia="zh-CN"/>
        </w:rPr>
        <w:t>咨询费、</w:t>
      </w:r>
      <w:r>
        <w:rPr>
          <w:rFonts w:hint="default" w:ascii="Times New Roman" w:hAnsi="Times New Roman" w:eastAsia="仿宋_GB2312" w:cs="Times New Roman"/>
          <w:sz w:val="32"/>
          <w:szCs w:val="32"/>
        </w:rPr>
        <w:t>手续费、水费、电费、邮电费、</w:t>
      </w:r>
      <w:r>
        <w:rPr>
          <w:rFonts w:hint="default" w:ascii="Times New Roman" w:hAnsi="Times New Roman" w:eastAsia="仿宋_GB2312" w:cs="Times New Roman"/>
          <w:sz w:val="32"/>
          <w:szCs w:val="32"/>
          <w:lang w:eastAsia="zh-CN"/>
        </w:rPr>
        <w:t>物业管理费、</w:t>
      </w:r>
      <w:r>
        <w:rPr>
          <w:rFonts w:hint="default" w:ascii="Times New Roman" w:hAnsi="Times New Roman" w:eastAsia="仿宋_GB2312" w:cs="Times New Roman"/>
          <w:sz w:val="32"/>
          <w:szCs w:val="32"/>
        </w:rPr>
        <w:t>差旅费、维修（护）费、租赁费、培训费、公务接待费、劳务费、委托业务费、工会经费、公务用车运行维护费、其他交通费、</w:t>
      </w:r>
      <w:r>
        <w:rPr>
          <w:rFonts w:hint="default" w:ascii="Times New Roman" w:hAnsi="Times New Roman" w:eastAsia="仿宋_GB2312" w:cs="Times New Roman"/>
          <w:sz w:val="32"/>
          <w:szCs w:val="32"/>
          <w:lang w:eastAsia="zh-CN"/>
        </w:rPr>
        <w:t>广电中心水电费、物管费、广电大楼维修维护费、视频会议室保障费用</w:t>
      </w:r>
      <w:r>
        <w:rPr>
          <w:rFonts w:hint="default" w:ascii="Times New Roman" w:hAnsi="Times New Roman" w:eastAsia="仿宋_GB2312" w:cs="Times New Roman"/>
          <w:sz w:val="32"/>
          <w:szCs w:val="32"/>
        </w:rPr>
        <w:t>。</w:t>
      </w:r>
    </w:p>
    <w:p>
      <w:pPr>
        <w:spacing w:line="576" w:lineRule="exact"/>
        <w:ind w:firstLine="640"/>
        <w:outlineLvl w:val="1"/>
        <w:rPr>
          <w:rStyle w:val="16"/>
          <w:rFonts w:hint="default" w:ascii="Times New Roman" w:hAnsi="Times New Roman" w:eastAsia="黑体" w:cs="Times New Roman"/>
          <w:b w:val="0"/>
          <w:color w:val="auto"/>
          <w:highlight w:val="none"/>
        </w:rPr>
      </w:pPr>
      <w:bookmarkStart w:id="66" w:name="_Toc29792"/>
      <w:bookmarkStart w:id="67" w:name="_Toc15396609"/>
      <w:bookmarkStart w:id="68" w:name="_Toc15377215"/>
      <w:bookmarkStart w:id="69" w:name="_Toc13960"/>
      <w:r>
        <w:rPr>
          <w:rFonts w:hint="default" w:ascii="Times New Roman" w:hAnsi="Times New Roman" w:eastAsia="黑体" w:cs="Times New Roman"/>
          <w:color w:val="auto"/>
          <w:sz w:val="32"/>
          <w:szCs w:val="32"/>
          <w:highlight w:val="none"/>
        </w:rPr>
        <w:t>七、</w:t>
      </w:r>
      <w:r>
        <w:rPr>
          <w:rStyle w:val="16"/>
          <w:rFonts w:hint="default" w:ascii="Times New Roman" w:hAnsi="Times New Roman" w:eastAsia="黑体" w:cs="Times New Roman"/>
          <w:color w:val="auto"/>
          <w:highlight w:val="none"/>
        </w:rPr>
        <w:t>“</w:t>
      </w:r>
      <w:r>
        <w:rPr>
          <w:rStyle w:val="16"/>
          <w:rFonts w:hint="default" w:ascii="Times New Roman" w:hAnsi="Times New Roman" w:eastAsia="黑体" w:cs="Times New Roman"/>
          <w:b w:val="0"/>
          <w:color w:val="auto"/>
          <w:highlight w:val="none"/>
        </w:rPr>
        <w:t>三公”经费财政拨款支出决算情况说明</w:t>
      </w:r>
      <w:bookmarkEnd w:id="66"/>
      <w:bookmarkEnd w:id="67"/>
      <w:bookmarkEnd w:id="68"/>
      <w:bookmarkEnd w:id="69"/>
    </w:p>
    <w:p>
      <w:pPr>
        <w:spacing w:line="576" w:lineRule="exact"/>
        <w:ind w:firstLine="640"/>
        <w:outlineLvl w:val="2"/>
        <w:rPr>
          <w:rFonts w:hint="default" w:ascii="Times New Roman" w:hAnsi="Times New Roman" w:eastAsia="楷体_GB2312" w:cs="Times New Roman"/>
          <w:b/>
          <w:color w:val="auto"/>
          <w:sz w:val="32"/>
          <w:szCs w:val="32"/>
          <w:highlight w:val="none"/>
        </w:rPr>
      </w:pPr>
      <w:bookmarkStart w:id="70"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70"/>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420"/>
        <w:textAlignment w:val="auto"/>
        <w:rPr>
          <w:rFonts w:hint="default"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年“三公”经费财政拨款支出决算为</w:t>
      </w:r>
      <w:r>
        <w:rPr>
          <w:rFonts w:hint="default" w:ascii="Times New Roman" w:hAnsi="Times New Roman" w:eastAsia="仿宋_GB2312" w:cs="Times New Roman"/>
          <w:color w:val="333333"/>
          <w:sz w:val="32"/>
          <w:szCs w:val="32"/>
          <w:lang w:val="en-US" w:eastAsia="zh-CN"/>
        </w:rPr>
        <w:t>294.73</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eastAsia="仿宋_GB2312" w:cs="Times New Roman"/>
          <w:color w:val="auto"/>
          <w:sz w:val="32"/>
          <w:szCs w:val="32"/>
          <w:highlight w:val="none"/>
          <w:lang w:val="en-US" w:eastAsia="zh-CN"/>
        </w:rPr>
        <w:t>63.55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eastAsia="zh-CN"/>
        </w:rPr>
        <w:t>一是由于资金紧张，部分大修车辆采取分批次维修，未及时全部安排维修；二是保险制度改革后，部分车辆保费减少。</w:t>
      </w:r>
    </w:p>
    <w:p>
      <w:pPr>
        <w:spacing w:line="576" w:lineRule="exact"/>
        <w:ind w:firstLine="640"/>
        <w:outlineLvl w:val="2"/>
        <w:rPr>
          <w:rFonts w:hint="default" w:ascii="Times New Roman" w:hAnsi="Times New Roman" w:eastAsia="楷体_GB2312" w:cs="Times New Roman"/>
          <w:b/>
          <w:color w:val="auto"/>
          <w:sz w:val="32"/>
          <w:szCs w:val="32"/>
          <w:highlight w:val="none"/>
        </w:rPr>
      </w:pPr>
      <w:bookmarkStart w:id="71"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71"/>
    </w:p>
    <w:p>
      <w:pPr>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年“三公”经费财政拨款支出决算中，因公出国（境）费支出决算</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%；公务用车购置及运行维护费支出决算</w:t>
      </w:r>
      <w:r>
        <w:rPr>
          <w:rFonts w:hint="default" w:ascii="Times New Roman" w:hAnsi="Times New Roman" w:eastAsia="仿宋_GB2312" w:cs="Times New Roman"/>
          <w:color w:val="333333"/>
          <w:sz w:val="32"/>
          <w:szCs w:val="32"/>
          <w:lang w:val="en-US" w:eastAsia="zh-CN"/>
        </w:rPr>
        <w:t>294.09</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99.8</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eastAsia="仿宋_GB2312" w:cs="Times New Roman"/>
          <w:color w:val="000000"/>
          <w:sz w:val="32"/>
          <w:szCs w:val="32"/>
          <w:lang w:val="en-US" w:eastAsia="zh-CN"/>
        </w:rPr>
        <w:t>0.64</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0.2</w:t>
      </w:r>
      <w:r>
        <w:rPr>
          <w:rFonts w:hint="default" w:ascii="Times New Roman" w:hAnsi="Times New Roman" w:eastAsia="仿宋_GB2312" w:cs="Times New Roman"/>
          <w:color w:val="auto"/>
          <w:sz w:val="32"/>
          <w:szCs w:val="32"/>
          <w:highlight w:val="none"/>
        </w:rPr>
        <w:t>%。具体情况如下：</w:t>
      </w:r>
    </w:p>
    <w:p>
      <w:pPr>
        <w:pStyle w:val="5"/>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5153660" cy="2743200"/>
            <wp:effectExtent l="4445" t="4445" r="8255" b="107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840" w:firstLineChars="300"/>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（图7：“三公”经费财政拨款支出结构）（饼状图）</w:t>
      </w:r>
    </w:p>
    <w:p>
      <w:pPr>
        <w:spacing w:line="600" w:lineRule="exact"/>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w:t>
      </w:r>
      <w:r>
        <w:rPr>
          <w:rFonts w:hint="default" w:ascii="Times New Roman" w:hAnsi="Times New Roman" w:eastAsia="仿宋_GB2312" w:cs="Times New Roman"/>
          <w:b w:val="0"/>
          <w:bCs/>
          <w:color w:val="auto"/>
          <w:sz w:val="32"/>
          <w:szCs w:val="32"/>
          <w:highlight w:val="none"/>
          <w:lang w:val="en-US" w:eastAsia="zh-CN"/>
        </w:rPr>
        <w:t>因公出国</w:t>
      </w:r>
      <w:r>
        <w:rPr>
          <w:rFonts w:hint="default" w:ascii="Times New Roman" w:hAnsi="Times New Roman" w:eastAsia="仿宋_GB2312" w:cs="Times New Roman"/>
          <w:b w:val="0"/>
          <w:bCs/>
          <w:color w:val="auto"/>
          <w:sz w:val="32"/>
          <w:szCs w:val="32"/>
          <w:highlight w:val="none"/>
        </w:rPr>
        <w:t>（境）</w:t>
      </w:r>
      <w:r>
        <w:rPr>
          <w:rFonts w:hint="default" w:ascii="Times New Roman" w:hAnsi="Times New Roman" w:eastAsia="仿宋_GB2312" w:cs="Times New Roman"/>
          <w:b w:val="0"/>
          <w:bCs/>
          <w:color w:val="auto"/>
          <w:sz w:val="32"/>
          <w:szCs w:val="32"/>
          <w:highlight w:val="none"/>
          <w:lang w:val="en-US" w:eastAsia="zh-CN"/>
        </w:rPr>
        <w:t>经费支出0万元，年初未安排预算，因公出国</w:t>
      </w:r>
      <w:r>
        <w:rPr>
          <w:rFonts w:hint="default" w:ascii="Times New Roman" w:hAnsi="Times New Roman" w:eastAsia="仿宋_GB2312" w:cs="Times New Roman"/>
          <w:b w:val="0"/>
          <w:bCs/>
          <w:color w:val="auto"/>
          <w:sz w:val="32"/>
          <w:szCs w:val="32"/>
          <w:highlight w:val="none"/>
        </w:rPr>
        <w:t>（境）</w:t>
      </w:r>
      <w:r>
        <w:rPr>
          <w:rFonts w:hint="default" w:ascii="Times New Roman" w:hAnsi="Times New Roman" w:eastAsia="仿宋_GB2312" w:cs="Times New Roman"/>
          <w:b w:val="0"/>
          <w:bCs/>
          <w:color w:val="auto"/>
          <w:sz w:val="32"/>
          <w:szCs w:val="32"/>
          <w:highlight w:val="none"/>
          <w:lang w:val="en-US" w:eastAsia="zh-CN"/>
        </w:rPr>
        <w:t>支出决算较2020年无变化。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2.公务用车购置及运行维护费支出</w:t>
      </w:r>
      <w:r>
        <w:rPr>
          <w:rFonts w:hint="default" w:ascii="Times New Roman" w:hAnsi="Times New Roman" w:eastAsia="仿宋_GB2312" w:cs="Times New Roman"/>
          <w:b w:val="0"/>
          <w:bCs/>
          <w:color w:val="auto"/>
          <w:sz w:val="32"/>
          <w:szCs w:val="32"/>
          <w:highlight w:val="none"/>
          <w:lang w:val="en-US" w:eastAsia="zh-CN"/>
        </w:rPr>
        <w:t>294.09</w:t>
      </w:r>
      <w:r>
        <w:rPr>
          <w:rFonts w:hint="default" w:ascii="Times New Roman" w:hAnsi="Times New Roman" w:eastAsia="仿宋_GB2312" w:cs="Times New Roman"/>
          <w:b w:val="0"/>
          <w:bCs/>
          <w:color w:val="auto"/>
          <w:sz w:val="32"/>
          <w:szCs w:val="32"/>
          <w:highlight w:val="none"/>
        </w:rPr>
        <w:t>万元,</w:t>
      </w:r>
      <w:r>
        <w:rPr>
          <w:rStyle w:val="13"/>
          <w:rFonts w:hint="default" w:ascii="Times New Roman" w:hAnsi="Times New Roman" w:eastAsia="仿宋_GB2312" w:cs="Times New Roman"/>
          <w:b w:val="0"/>
          <w:bCs/>
          <w:color w:val="auto"/>
          <w:sz w:val="32"/>
          <w:szCs w:val="32"/>
          <w:highlight w:val="none"/>
        </w:rPr>
        <w:t>完成预算</w:t>
      </w:r>
      <w:r>
        <w:rPr>
          <w:rStyle w:val="13"/>
          <w:rFonts w:hint="default" w:ascii="Times New Roman" w:hAnsi="Times New Roman" w:eastAsia="仿宋_GB2312" w:cs="Times New Roman"/>
          <w:b w:val="0"/>
          <w:bCs/>
          <w:color w:val="auto"/>
          <w:sz w:val="32"/>
          <w:szCs w:val="32"/>
          <w:highlight w:val="none"/>
          <w:lang w:val="en-US" w:eastAsia="zh-CN"/>
        </w:rPr>
        <w:t>64</w:t>
      </w:r>
      <w:r>
        <w:rPr>
          <w:rStyle w:val="13"/>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公务用车购置及运行维护费支出决算比20</w:t>
      </w:r>
      <w:r>
        <w:rPr>
          <w:rFonts w:hint="default" w:ascii="Times New Roman" w:hAnsi="Times New Roman" w:eastAsia="仿宋_GB2312" w:cs="Times New Roman"/>
          <w:b w:val="0"/>
          <w:bCs/>
          <w:color w:val="auto"/>
          <w:sz w:val="32"/>
          <w:szCs w:val="32"/>
          <w:highlight w:val="none"/>
          <w:lang w:val="en-US" w:eastAsia="zh-CN"/>
        </w:rPr>
        <w:t>20</w:t>
      </w:r>
      <w:r>
        <w:rPr>
          <w:rFonts w:hint="default" w:ascii="Times New Roman" w:hAnsi="Times New Roman" w:eastAsia="仿宋_GB2312" w:cs="Times New Roman"/>
          <w:b w:val="0"/>
          <w:bCs/>
          <w:color w:val="auto"/>
          <w:sz w:val="32"/>
          <w:szCs w:val="32"/>
          <w:highlight w:val="none"/>
        </w:rPr>
        <w:t>年减少</w:t>
      </w:r>
      <w:r>
        <w:rPr>
          <w:rFonts w:hint="default" w:ascii="Times New Roman" w:hAnsi="Times New Roman" w:eastAsia="仿宋_GB2312" w:cs="Times New Roman"/>
          <w:b w:val="0"/>
          <w:bCs/>
          <w:color w:val="auto"/>
          <w:sz w:val="32"/>
          <w:szCs w:val="32"/>
          <w:highlight w:val="none"/>
          <w:lang w:val="en-US" w:eastAsia="zh-CN"/>
        </w:rPr>
        <w:t>51.34</w:t>
      </w:r>
      <w:r>
        <w:rPr>
          <w:rFonts w:hint="default" w:ascii="Times New Roman" w:hAnsi="Times New Roman" w:eastAsia="仿宋_GB2312" w:cs="Times New Roman"/>
          <w:b w:val="0"/>
          <w:bCs/>
          <w:color w:val="auto"/>
          <w:sz w:val="32"/>
          <w:szCs w:val="32"/>
          <w:highlight w:val="none"/>
        </w:rPr>
        <w:t>万元</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下降</w:t>
      </w:r>
      <w:r>
        <w:rPr>
          <w:rFonts w:hint="default" w:ascii="Times New Roman" w:hAnsi="Times New Roman" w:eastAsia="仿宋_GB2312" w:cs="Times New Roman"/>
          <w:b w:val="0"/>
          <w:bCs/>
          <w:color w:val="auto"/>
          <w:sz w:val="32"/>
          <w:szCs w:val="32"/>
          <w:highlight w:val="none"/>
          <w:lang w:val="en-US" w:eastAsia="zh-CN"/>
        </w:rPr>
        <w:t>14.86</w:t>
      </w:r>
      <w:r>
        <w:rPr>
          <w:rFonts w:hint="default" w:ascii="Times New Roman" w:hAnsi="Times New Roman" w:eastAsia="仿宋_GB2312" w:cs="Times New Roman"/>
          <w:b w:val="0"/>
          <w:bCs/>
          <w:color w:val="auto"/>
          <w:sz w:val="32"/>
          <w:szCs w:val="32"/>
          <w:highlight w:val="none"/>
        </w:rPr>
        <w:t>%。主要原因</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bCs w:val="0"/>
          <w:color w:val="auto"/>
          <w:sz w:val="32"/>
          <w:szCs w:val="32"/>
          <w:lang w:eastAsia="zh-CN"/>
        </w:rPr>
        <w:t>一是</w:t>
      </w:r>
      <w:r>
        <w:rPr>
          <w:rFonts w:hint="default" w:ascii="Times New Roman" w:hAnsi="Times New Roman" w:eastAsia="仿宋_GB2312" w:cs="Times New Roman"/>
          <w:b w:val="0"/>
          <w:bCs/>
          <w:color w:val="auto"/>
          <w:sz w:val="32"/>
          <w:szCs w:val="32"/>
          <w:lang w:eastAsia="zh-CN"/>
        </w:rPr>
        <w:t>由于资金紧张，部分大修车辆采取分批次维修，未及时全部安排维修；</w:t>
      </w:r>
      <w:r>
        <w:rPr>
          <w:rFonts w:hint="default" w:ascii="Times New Roman" w:hAnsi="Times New Roman" w:eastAsia="仿宋_GB2312" w:cs="Times New Roman"/>
          <w:b/>
          <w:bCs w:val="0"/>
          <w:color w:val="auto"/>
          <w:sz w:val="32"/>
          <w:szCs w:val="32"/>
          <w:lang w:eastAsia="zh-CN"/>
        </w:rPr>
        <w:t>二是</w:t>
      </w:r>
      <w:r>
        <w:rPr>
          <w:rFonts w:hint="default" w:ascii="Times New Roman" w:hAnsi="Times New Roman" w:eastAsia="仿宋_GB2312" w:cs="Times New Roman"/>
          <w:b w:val="0"/>
          <w:bCs/>
          <w:color w:val="auto"/>
          <w:sz w:val="32"/>
          <w:szCs w:val="32"/>
          <w:lang w:eastAsia="zh-CN"/>
        </w:rPr>
        <w:t>保险制度改革后，部分车辆保费减少。</w:t>
      </w:r>
    </w:p>
    <w:p>
      <w:pPr>
        <w:keepNext w:val="0"/>
        <w:keepLines w:val="0"/>
        <w:pageBreakBefore w:val="0"/>
        <w:kinsoku/>
        <w:wordWrap/>
        <w:overflowPunct/>
        <w:topLinePunct w:val="0"/>
        <w:bidi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auto"/>
          <w:sz w:val="32"/>
          <w:szCs w:val="32"/>
          <w:highlight w:val="none"/>
        </w:rPr>
        <w:t>其中：</w:t>
      </w:r>
      <w:r>
        <w:rPr>
          <w:rFonts w:hint="default" w:ascii="Times New Roman" w:hAnsi="Times New Roman" w:eastAsia="仿宋_GB2312" w:cs="Times New Roman"/>
          <w:b w:val="0"/>
          <w:bCs w:val="0"/>
          <w:color w:val="auto"/>
          <w:sz w:val="32"/>
          <w:szCs w:val="32"/>
          <w:highlight w:val="none"/>
          <w:lang w:val="en-US" w:eastAsia="zh-CN"/>
        </w:rPr>
        <w:t>2021年</w:t>
      </w:r>
      <w:r>
        <w:rPr>
          <w:rFonts w:hint="default" w:ascii="Times New Roman" w:hAnsi="Times New Roman" w:eastAsia="仿宋_GB2312" w:cs="Times New Roman"/>
          <w:b w:val="0"/>
          <w:bCs w:val="0"/>
          <w:color w:val="auto"/>
          <w:sz w:val="32"/>
          <w:szCs w:val="32"/>
          <w:highlight w:val="none"/>
          <w:lang w:eastAsia="zh-CN"/>
        </w:rPr>
        <w:t>未</w:t>
      </w:r>
      <w:r>
        <w:rPr>
          <w:rFonts w:hint="default" w:ascii="Times New Roman" w:hAnsi="Times New Roman" w:eastAsia="仿宋_GB2312" w:cs="Times New Roman"/>
          <w:b w:val="0"/>
          <w:bCs w:val="0"/>
          <w:color w:val="auto"/>
          <w:sz w:val="32"/>
          <w:szCs w:val="32"/>
          <w:highlight w:val="none"/>
        </w:rPr>
        <w:t>购置公务用车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未产生购置费用</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2021年</w:t>
      </w:r>
      <w:r>
        <w:rPr>
          <w:rFonts w:hint="default" w:ascii="Times New Roman" w:hAnsi="Times New Roman" w:eastAsia="仿宋_GB2312" w:cs="Times New Roman"/>
          <w:b w:val="0"/>
          <w:bCs w:val="0"/>
          <w:color w:val="auto"/>
          <w:sz w:val="32"/>
          <w:szCs w:val="32"/>
          <w:highlight w:val="none"/>
        </w:rPr>
        <w:t>公务用车运行维护费支出</w:t>
      </w:r>
      <w:r>
        <w:rPr>
          <w:rFonts w:hint="default" w:ascii="Times New Roman" w:hAnsi="Times New Roman" w:eastAsia="仿宋_GB2312" w:cs="Times New Roman"/>
          <w:b w:val="0"/>
          <w:bCs w:val="0"/>
          <w:color w:val="auto"/>
          <w:sz w:val="32"/>
          <w:szCs w:val="32"/>
          <w:highlight w:val="none"/>
          <w:lang w:val="en-US" w:eastAsia="zh-CN"/>
        </w:rPr>
        <w:t>294.09</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b w:val="0"/>
          <w:bCs w:val="0"/>
          <w:color w:val="000000"/>
          <w:sz w:val="32"/>
          <w:szCs w:val="32"/>
        </w:rPr>
        <w:t>主要用于</w:t>
      </w:r>
      <w:r>
        <w:rPr>
          <w:rFonts w:hint="default" w:ascii="Times New Roman" w:hAnsi="Times New Roman" w:eastAsia="仿宋_GB2312" w:cs="Times New Roman"/>
          <w:b w:val="0"/>
          <w:bCs w:val="0"/>
          <w:color w:val="000000"/>
          <w:sz w:val="32"/>
          <w:szCs w:val="32"/>
          <w:lang w:eastAsia="zh-CN"/>
        </w:rPr>
        <w:t>保障全区领导和各部门公务出行</w:t>
      </w:r>
      <w:r>
        <w:rPr>
          <w:rFonts w:hint="default" w:ascii="Times New Roman" w:hAnsi="Times New Roman" w:eastAsia="仿宋_GB2312" w:cs="Times New Roman"/>
          <w:b w:val="0"/>
          <w:bCs w:val="0"/>
          <w:color w:val="000000"/>
          <w:sz w:val="32"/>
          <w:szCs w:val="32"/>
        </w:rPr>
        <w:t>所需的燃料费、维修费、过路过桥费、</w:t>
      </w:r>
      <w:r>
        <w:rPr>
          <w:rFonts w:hint="default" w:ascii="Times New Roman" w:hAnsi="Times New Roman" w:eastAsia="仿宋_GB2312" w:cs="Times New Roman"/>
          <w:b w:val="0"/>
          <w:bCs w:val="0"/>
          <w:color w:val="000000"/>
          <w:sz w:val="32"/>
          <w:szCs w:val="32"/>
          <w:lang w:eastAsia="zh-CN"/>
        </w:rPr>
        <w:t>洗车停车费、</w:t>
      </w:r>
      <w:r>
        <w:rPr>
          <w:rFonts w:hint="default" w:ascii="Times New Roman" w:hAnsi="Times New Roman" w:eastAsia="仿宋_GB2312" w:cs="Times New Roman"/>
          <w:b w:val="0"/>
          <w:bCs w:val="0"/>
          <w:color w:val="000000"/>
          <w:sz w:val="32"/>
          <w:szCs w:val="32"/>
        </w:rPr>
        <w:t>保险费等支出。</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3.公务接待费支出</w:t>
      </w:r>
      <w:r>
        <w:rPr>
          <w:rFonts w:hint="default" w:ascii="Times New Roman" w:hAnsi="Times New Roman" w:eastAsia="仿宋_GB2312" w:cs="Times New Roman"/>
          <w:b w:val="0"/>
          <w:bCs w:val="0"/>
          <w:color w:val="auto"/>
          <w:sz w:val="32"/>
          <w:szCs w:val="32"/>
          <w:highlight w:val="none"/>
          <w:lang w:val="en-US" w:eastAsia="zh-CN"/>
        </w:rPr>
        <w:t>0.64</w:t>
      </w:r>
      <w:r>
        <w:rPr>
          <w:rFonts w:hint="default" w:ascii="Times New Roman" w:hAnsi="Times New Roman" w:eastAsia="仿宋_GB2312" w:cs="Times New Roman"/>
          <w:b w:val="0"/>
          <w:bCs w:val="0"/>
          <w:color w:val="auto"/>
          <w:sz w:val="32"/>
          <w:szCs w:val="32"/>
          <w:highlight w:val="none"/>
        </w:rPr>
        <w:t>万元，</w:t>
      </w:r>
      <w:r>
        <w:rPr>
          <w:rStyle w:val="13"/>
          <w:rFonts w:hint="default" w:ascii="Times New Roman" w:hAnsi="Times New Roman" w:eastAsia="仿宋_GB2312" w:cs="Times New Roman"/>
          <w:b w:val="0"/>
          <w:bCs w:val="0"/>
          <w:color w:val="auto"/>
          <w:sz w:val="32"/>
          <w:szCs w:val="32"/>
          <w:highlight w:val="none"/>
        </w:rPr>
        <w:t>完成预算</w:t>
      </w:r>
      <w:r>
        <w:rPr>
          <w:rStyle w:val="13"/>
          <w:rFonts w:hint="default" w:ascii="Times New Roman" w:hAnsi="Times New Roman" w:eastAsia="仿宋_GB2312" w:cs="Times New Roman"/>
          <w:b w:val="0"/>
          <w:bCs w:val="0"/>
          <w:color w:val="auto"/>
          <w:sz w:val="32"/>
          <w:szCs w:val="32"/>
          <w:highlight w:val="none"/>
          <w:lang w:val="en-US" w:eastAsia="zh-CN"/>
        </w:rPr>
        <w:t>100</w:t>
      </w:r>
      <w:r>
        <w:rPr>
          <w:rStyle w:val="13"/>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公务接待费支出决算比20</w:t>
      </w:r>
      <w:r>
        <w:rPr>
          <w:rFonts w:hint="default" w:ascii="Times New Roman" w:hAnsi="Times New Roman"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rPr>
        <w:t>年减少</w:t>
      </w:r>
      <w:r>
        <w:rPr>
          <w:rFonts w:hint="default" w:ascii="Times New Roman" w:hAnsi="Times New Roman" w:eastAsia="仿宋_GB2312" w:cs="Times New Roman"/>
          <w:b w:val="0"/>
          <w:bCs w:val="0"/>
          <w:color w:val="auto"/>
          <w:sz w:val="32"/>
          <w:szCs w:val="32"/>
          <w:highlight w:val="none"/>
          <w:lang w:val="en-US" w:eastAsia="zh-CN"/>
        </w:rPr>
        <w:t>0.49</w:t>
      </w:r>
      <w:r>
        <w:rPr>
          <w:rFonts w:hint="default" w:ascii="Times New Roman" w:hAnsi="Times New Roman" w:eastAsia="仿宋_GB2312" w:cs="Times New Roman"/>
          <w:b w:val="0"/>
          <w:bCs w:val="0"/>
          <w:color w:val="auto"/>
          <w:sz w:val="32"/>
          <w:szCs w:val="32"/>
          <w:highlight w:val="none"/>
        </w:rPr>
        <w:t>万元，下降</w:t>
      </w:r>
      <w:r>
        <w:rPr>
          <w:rFonts w:hint="default" w:ascii="Times New Roman" w:hAnsi="Times New Roman" w:eastAsia="仿宋_GB2312" w:cs="Times New Roman"/>
          <w:b w:val="0"/>
          <w:bCs w:val="0"/>
          <w:color w:val="auto"/>
          <w:sz w:val="32"/>
          <w:szCs w:val="32"/>
          <w:highlight w:val="none"/>
          <w:lang w:val="en-US" w:eastAsia="zh-CN"/>
        </w:rPr>
        <w:t>43.4</w:t>
      </w:r>
      <w:r>
        <w:rPr>
          <w:rFonts w:hint="default" w:ascii="Times New Roman" w:hAnsi="Times New Roman" w:eastAsia="仿宋_GB2312" w:cs="Times New Roman"/>
          <w:b w:val="0"/>
          <w:bCs w:val="0"/>
          <w:color w:val="auto"/>
          <w:sz w:val="32"/>
          <w:szCs w:val="32"/>
          <w:highlight w:val="none"/>
        </w:rPr>
        <w:t>%。主要原因是</w:t>
      </w:r>
      <w:r>
        <w:rPr>
          <w:rFonts w:hint="default" w:ascii="Times New Roman" w:hAnsi="Times New Roman" w:eastAsia="仿宋_GB2312" w:cs="Times New Roman"/>
          <w:b w:val="0"/>
          <w:bCs w:val="0"/>
          <w:color w:val="auto"/>
          <w:sz w:val="32"/>
          <w:szCs w:val="32"/>
          <w:highlight w:val="none"/>
          <w:lang w:val="en-US" w:eastAsia="zh-CN"/>
        </w:rPr>
        <w:t>认真贯彻落实压减一般性支出</w:t>
      </w:r>
      <w:r>
        <w:rPr>
          <w:rFonts w:hint="default" w:ascii="Times New Roman" w:hAnsi="Times New Roman" w:eastAsia="仿宋_GB2312" w:cs="Times New Roman"/>
          <w:b w:val="0"/>
          <w:bCs w:val="0"/>
          <w:color w:val="auto"/>
          <w:sz w:val="32"/>
          <w:szCs w:val="32"/>
          <w:highlight w:val="none"/>
        </w:rPr>
        <w:t>。其中：</w:t>
      </w:r>
    </w:p>
    <w:p>
      <w:pPr>
        <w:keepNext w:val="0"/>
        <w:keepLines w:val="0"/>
        <w:pageBreakBefore w:val="0"/>
        <w:kinsoku/>
        <w:wordWrap/>
        <w:overflowPunct/>
        <w:topLinePunct w:val="0"/>
        <w:bidi w:val="0"/>
        <w:spacing w:beforeAutospacing="0" w:afterAutospacing="0" w:line="500" w:lineRule="exact"/>
        <w:ind w:firstLine="64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国内公务接待支出</w:t>
      </w:r>
      <w:r>
        <w:rPr>
          <w:rFonts w:hint="default" w:ascii="Times New Roman" w:hAnsi="Times New Roman" w:eastAsia="仿宋_GB2312" w:cs="Times New Roman"/>
          <w:b w:val="0"/>
          <w:bCs w:val="0"/>
          <w:color w:val="auto"/>
          <w:sz w:val="32"/>
          <w:szCs w:val="32"/>
          <w:highlight w:val="none"/>
          <w:lang w:val="en-US" w:eastAsia="zh-CN"/>
        </w:rPr>
        <w:t>0.64</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b w:val="0"/>
          <w:bCs w:val="0"/>
          <w:color w:val="000000"/>
          <w:sz w:val="32"/>
          <w:szCs w:val="32"/>
        </w:rPr>
        <w:t>主要用于执行公务、开展业务</w:t>
      </w:r>
      <w:r>
        <w:rPr>
          <w:rFonts w:hint="default" w:ascii="Times New Roman" w:hAnsi="Times New Roman" w:eastAsia="仿宋_GB2312" w:cs="Times New Roman"/>
          <w:b w:val="0"/>
          <w:bCs w:val="0"/>
          <w:color w:val="auto"/>
          <w:sz w:val="32"/>
          <w:szCs w:val="32"/>
        </w:rPr>
        <w:t>活动开支</w:t>
      </w:r>
      <w:r>
        <w:rPr>
          <w:rFonts w:hint="default" w:ascii="Times New Roman" w:hAnsi="Times New Roman" w:eastAsia="仿宋_GB2312" w:cs="Times New Roman"/>
          <w:b w:val="0"/>
          <w:bCs w:val="0"/>
          <w:color w:val="auto"/>
          <w:sz w:val="32"/>
          <w:szCs w:val="32"/>
          <w:lang w:eastAsia="zh-CN"/>
        </w:rPr>
        <w:t>生活</w:t>
      </w:r>
      <w:r>
        <w:rPr>
          <w:rFonts w:hint="default" w:ascii="Times New Roman" w:hAnsi="Times New Roman" w:eastAsia="仿宋_GB2312" w:cs="Times New Roman"/>
          <w:b w:val="0"/>
          <w:bCs w:val="0"/>
          <w:color w:val="auto"/>
          <w:sz w:val="32"/>
          <w:szCs w:val="32"/>
        </w:rPr>
        <w:t>用餐费</w:t>
      </w:r>
      <w:r>
        <w:rPr>
          <w:rFonts w:hint="default" w:ascii="Times New Roman" w:hAnsi="Times New Roman" w:eastAsia="仿宋_GB2312" w:cs="Times New Roman"/>
          <w:b w:val="0"/>
          <w:bCs w:val="0"/>
          <w:color w:val="auto"/>
          <w:sz w:val="32"/>
          <w:szCs w:val="32"/>
          <w:highlight w:val="none"/>
        </w:rPr>
        <w:t>。国内公务接待</w:t>
      </w:r>
      <w:r>
        <w:rPr>
          <w:rFonts w:hint="default"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批次，</w:t>
      </w:r>
      <w:r>
        <w:rPr>
          <w:rFonts w:hint="default" w:ascii="Times New Roman" w:hAnsi="Times New Roman" w:eastAsia="仿宋_GB2312" w:cs="Times New Roman"/>
          <w:b w:val="0"/>
          <w:bCs w:val="0"/>
          <w:color w:val="auto"/>
          <w:sz w:val="32"/>
          <w:szCs w:val="32"/>
          <w:highlight w:val="none"/>
          <w:lang w:val="en-US" w:eastAsia="zh-CN"/>
        </w:rPr>
        <w:t>65</w:t>
      </w:r>
      <w:r>
        <w:rPr>
          <w:rFonts w:hint="default" w:ascii="Times New Roman" w:hAnsi="Times New Roman" w:eastAsia="仿宋_GB2312" w:cs="Times New Roman"/>
          <w:b w:val="0"/>
          <w:bCs w:val="0"/>
          <w:color w:val="auto"/>
          <w:sz w:val="32"/>
          <w:szCs w:val="32"/>
          <w:highlight w:val="none"/>
        </w:rPr>
        <w:t>人次，共计支出</w:t>
      </w:r>
      <w:r>
        <w:rPr>
          <w:rFonts w:hint="default" w:ascii="Times New Roman" w:hAnsi="Times New Roman" w:eastAsia="仿宋_GB2312" w:cs="Times New Roman"/>
          <w:b w:val="0"/>
          <w:bCs w:val="0"/>
          <w:color w:val="auto"/>
          <w:sz w:val="32"/>
          <w:szCs w:val="32"/>
          <w:highlight w:val="none"/>
          <w:lang w:val="en-US" w:eastAsia="zh-CN"/>
        </w:rPr>
        <w:t>0.64</w:t>
      </w:r>
      <w:r>
        <w:rPr>
          <w:rFonts w:hint="default" w:ascii="Times New Roman" w:hAnsi="Times New Roman" w:eastAsia="仿宋_GB2312" w:cs="Times New Roman"/>
          <w:b w:val="0"/>
          <w:bCs w:val="0"/>
          <w:color w:val="auto"/>
          <w:sz w:val="32"/>
          <w:szCs w:val="32"/>
          <w:highlight w:val="none"/>
        </w:rPr>
        <w:t>万元，具体内容包括：</w:t>
      </w:r>
      <w:r>
        <w:rPr>
          <w:rFonts w:hint="default" w:ascii="Times New Roman" w:hAnsi="Times New Roman" w:eastAsia="仿宋_GB2312" w:cs="Times New Roman"/>
          <w:b w:val="0"/>
          <w:bCs w:val="0"/>
          <w:color w:val="auto"/>
          <w:sz w:val="32"/>
          <w:szCs w:val="32"/>
          <w:highlight w:val="none"/>
          <w:lang w:eastAsia="zh-CN"/>
        </w:rPr>
        <w:t>旺苍县机关事务中心到我单位考察用餐</w:t>
      </w:r>
      <w:r>
        <w:rPr>
          <w:rFonts w:hint="default" w:ascii="Times New Roman" w:hAnsi="Times New Roman" w:eastAsia="仿宋_GB2312" w:cs="Times New Roman"/>
          <w:b w:val="0"/>
          <w:bCs w:val="0"/>
          <w:color w:val="auto"/>
          <w:sz w:val="32"/>
          <w:szCs w:val="32"/>
          <w:highlight w:val="none"/>
          <w:lang w:val="en-US" w:eastAsia="zh-CN"/>
        </w:rPr>
        <w:t>1020元、青川县机关事务中心到我中心考察用餐3次共计3542元、市总值班室调研我区总值班室工作接待用餐990元、</w:t>
      </w:r>
      <w:r>
        <w:rPr>
          <w:rFonts w:hint="default" w:ascii="Times New Roman" w:hAnsi="Times New Roman" w:eastAsia="仿宋_GB2312" w:cs="Times New Roman"/>
          <w:b w:val="0"/>
          <w:bCs w:val="0"/>
          <w:color w:val="auto"/>
          <w:sz w:val="32"/>
          <w:szCs w:val="32"/>
        </w:rPr>
        <w:t>及其他工作用餐</w:t>
      </w:r>
      <w:r>
        <w:rPr>
          <w:rFonts w:hint="default" w:ascii="Times New Roman" w:hAnsi="Times New Roman" w:eastAsia="仿宋_GB2312" w:cs="Times New Roman"/>
          <w:b w:val="0"/>
          <w:bCs w:val="0"/>
          <w:color w:val="auto"/>
          <w:sz w:val="32"/>
          <w:szCs w:val="32"/>
          <w:lang w:val="en-US" w:eastAsia="zh-CN"/>
        </w:rPr>
        <w:t>850元</w:t>
      </w:r>
      <w:r>
        <w:rPr>
          <w:rFonts w:hint="default" w:ascii="Times New Roman" w:hAnsi="Times New Roman" w:eastAsia="仿宋_GB2312" w:cs="Times New Roman"/>
          <w:b w:val="0"/>
          <w:bCs w:val="0"/>
          <w:color w:val="auto"/>
          <w:sz w:val="32"/>
          <w:szCs w:val="32"/>
          <w:highlight w:val="none"/>
        </w:rPr>
        <w:t>。</w:t>
      </w:r>
    </w:p>
    <w:p>
      <w:pPr>
        <w:spacing w:line="60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外事接待支出</w:t>
      </w:r>
      <w:r>
        <w:rPr>
          <w:rFonts w:hint="default" w:ascii="Times New Roman" w:hAnsi="Times New Roman" w:eastAsia="仿宋_GB2312" w:cs="Times New Roman"/>
          <w:b w:val="0"/>
          <w:bCs w:val="0"/>
          <w:color w:val="auto"/>
          <w:sz w:val="32"/>
          <w:szCs w:val="32"/>
          <w:highlight w:val="none"/>
          <w:lang w:val="en-US" w:eastAsia="zh-CN"/>
        </w:rPr>
        <w:t>0</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000000"/>
          <w:sz w:val="32"/>
          <w:szCs w:val="32"/>
          <w:lang w:eastAsia="zh-CN"/>
        </w:rPr>
        <w:t>年初未安排预算，</w:t>
      </w:r>
      <w:r>
        <w:rPr>
          <w:rFonts w:hint="default" w:ascii="Times New Roman" w:hAnsi="Times New Roman" w:eastAsia="仿宋_GB2312" w:cs="Times New Roman"/>
          <w:b w:val="0"/>
          <w:bCs w:val="0"/>
          <w:color w:val="000000"/>
          <w:sz w:val="32"/>
          <w:szCs w:val="32"/>
          <w:lang w:val="en-US" w:eastAsia="zh-CN"/>
        </w:rPr>
        <w:t>与上年数无变化</w:t>
      </w:r>
      <w:r>
        <w:rPr>
          <w:rFonts w:hint="default" w:ascii="Times New Roman" w:hAnsi="Times New Roman" w:eastAsia="仿宋_GB2312" w:cs="Times New Roman"/>
          <w:b w:val="0"/>
          <w:bCs w:val="0"/>
          <w:color w:val="000000"/>
          <w:sz w:val="32"/>
          <w:szCs w:val="32"/>
        </w:rPr>
        <w:t>。</w:t>
      </w:r>
      <w:bookmarkStart w:id="72" w:name="_Toc15396610"/>
      <w:bookmarkStart w:id="73" w:name="_Toc15377218"/>
    </w:p>
    <w:p>
      <w:pPr>
        <w:spacing w:line="600" w:lineRule="exact"/>
        <w:ind w:firstLine="640"/>
        <w:outlineLvl w:val="1"/>
        <w:rPr>
          <w:rStyle w:val="16"/>
          <w:rFonts w:hint="default" w:ascii="Times New Roman" w:hAnsi="Times New Roman" w:eastAsia="黑体" w:cs="Times New Roman"/>
          <w:color w:val="auto"/>
          <w:highlight w:val="none"/>
        </w:rPr>
      </w:pPr>
      <w:bookmarkStart w:id="74" w:name="_Toc21006"/>
      <w:bookmarkStart w:id="75" w:name="_Toc31406"/>
      <w:r>
        <w:rPr>
          <w:rFonts w:hint="default" w:ascii="Times New Roman" w:hAnsi="Times New Roman" w:eastAsia="黑体" w:cs="Times New Roman"/>
          <w:color w:val="auto"/>
          <w:sz w:val="32"/>
          <w:szCs w:val="32"/>
          <w:highlight w:val="none"/>
        </w:rPr>
        <w:t>八、</w:t>
      </w:r>
      <w:r>
        <w:rPr>
          <w:rStyle w:val="16"/>
          <w:rFonts w:hint="default" w:ascii="Times New Roman" w:hAnsi="Times New Roman" w:eastAsia="黑体" w:cs="Times New Roman"/>
          <w:b w:val="0"/>
          <w:color w:val="auto"/>
          <w:highlight w:val="none"/>
        </w:rPr>
        <w:t>政府性基金预算支出决算情况说明</w:t>
      </w:r>
      <w:bookmarkEnd w:id="72"/>
      <w:bookmarkEnd w:id="73"/>
      <w:bookmarkEnd w:id="74"/>
      <w:bookmarkEnd w:id="75"/>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较2020年无变化</w:t>
      </w:r>
      <w:r>
        <w:rPr>
          <w:rFonts w:hint="default" w:ascii="Times New Roman" w:hAnsi="Times New Roman" w:eastAsia="仿宋_GB2312" w:cs="Times New Roman"/>
          <w:color w:val="auto"/>
          <w:sz w:val="32"/>
          <w:szCs w:val="32"/>
          <w:highlight w:val="none"/>
        </w:rPr>
        <w:t>。</w:t>
      </w:r>
    </w:p>
    <w:p>
      <w:pPr>
        <w:numPr>
          <w:ilvl w:val="0"/>
          <w:numId w:val="1"/>
        </w:numPr>
        <w:spacing w:line="600" w:lineRule="exact"/>
        <w:ind w:firstLine="640"/>
        <w:outlineLvl w:val="1"/>
        <w:rPr>
          <w:rStyle w:val="16"/>
          <w:rFonts w:hint="default" w:ascii="Times New Roman" w:hAnsi="Times New Roman" w:eastAsia="黑体" w:cs="Times New Roman"/>
          <w:b w:val="0"/>
          <w:color w:val="auto"/>
          <w:highlight w:val="none"/>
        </w:rPr>
      </w:pPr>
      <w:bookmarkStart w:id="76" w:name="_Toc15377219"/>
      <w:bookmarkStart w:id="77" w:name="_Toc15396611"/>
      <w:bookmarkStart w:id="78" w:name="_Toc26565"/>
      <w:bookmarkStart w:id="79" w:name="_Toc27610"/>
      <w:r>
        <w:rPr>
          <w:rStyle w:val="16"/>
          <w:rFonts w:hint="default" w:ascii="Times New Roman" w:hAnsi="Times New Roman" w:eastAsia="黑体" w:cs="Times New Roman"/>
          <w:b w:val="0"/>
          <w:color w:val="auto"/>
          <w:highlight w:val="none"/>
        </w:rPr>
        <w:t>国有资本经营预算支出决算情况说明</w:t>
      </w:r>
      <w:bookmarkEnd w:id="76"/>
      <w:bookmarkEnd w:id="77"/>
      <w:bookmarkEnd w:id="78"/>
      <w:bookmarkEnd w:id="79"/>
    </w:p>
    <w:p>
      <w:pPr>
        <w:spacing w:line="600" w:lineRule="exact"/>
        <w:ind w:firstLine="640"/>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较2020年无变化</w:t>
      </w:r>
      <w:r>
        <w:rPr>
          <w:rFonts w:hint="default" w:ascii="Times New Roman" w:hAnsi="Times New Roman" w:eastAsia="仿宋_GB2312" w:cs="Times New Roman"/>
          <w:color w:val="auto"/>
          <w:sz w:val="32"/>
          <w:szCs w:val="32"/>
          <w:highlight w:val="none"/>
        </w:rPr>
        <w:t>。</w:t>
      </w:r>
    </w:p>
    <w:p>
      <w:pPr>
        <w:numPr>
          <w:ilvl w:val="0"/>
          <w:numId w:val="1"/>
        </w:numPr>
        <w:spacing w:line="600" w:lineRule="exact"/>
        <w:ind w:firstLine="640"/>
        <w:outlineLvl w:val="1"/>
        <w:rPr>
          <w:rStyle w:val="16"/>
          <w:rFonts w:hint="default" w:ascii="Times New Roman" w:hAnsi="Times New Roman" w:eastAsia="黑体" w:cs="Times New Roman"/>
          <w:b w:val="0"/>
          <w:color w:val="auto"/>
          <w:highlight w:val="none"/>
        </w:rPr>
      </w:pPr>
      <w:bookmarkStart w:id="80" w:name="_Toc4806"/>
      <w:bookmarkStart w:id="81" w:name="_Toc10992"/>
      <w:bookmarkStart w:id="82" w:name="_Toc15377221"/>
      <w:bookmarkStart w:id="83" w:name="_Toc15396612"/>
      <w:r>
        <w:rPr>
          <w:rStyle w:val="16"/>
          <w:rFonts w:hint="default" w:ascii="Times New Roman" w:hAnsi="Times New Roman" w:eastAsia="黑体" w:cs="Times New Roman"/>
          <w:b w:val="0"/>
          <w:color w:val="auto"/>
          <w:highlight w:val="none"/>
          <w:lang w:val="en-US" w:eastAsia="zh-CN"/>
        </w:rPr>
        <w:t>预算绩效管理情况</w:t>
      </w:r>
      <w:bookmarkEnd w:id="80"/>
      <w:bookmarkEnd w:id="81"/>
    </w:p>
    <w:p>
      <w:pPr>
        <w:spacing w:line="580" w:lineRule="exact"/>
        <w:ind w:firstLine="640" w:firstLineChars="200"/>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2021年度</w:t>
      </w:r>
      <w:r>
        <w:rPr>
          <w:rFonts w:hint="default" w:ascii="Times New Roman" w:hAnsi="Times New Roman" w:eastAsia="仿宋_GB2312" w:cs="Times New Roman"/>
          <w:color w:val="auto"/>
          <w:sz w:val="32"/>
          <w:szCs w:val="32"/>
          <w:highlight w:val="none"/>
        </w:rPr>
        <w:t>预算编制阶段，组织对</w:t>
      </w:r>
      <w:r>
        <w:rPr>
          <w:rFonts w:hint="default" w:ascii="Times New Roman" w:hAnsi="Times New Roman" w:eastAsia="仿宋_GB2312" w:cs="Times New Roman"/>
          <w:color w:val="auto"/>
          <w:sz w:val="32"/>
          <w:szCs w:val="32"/>
          <w:highlight w:val="none"/>
          <w:lang w:eastAsia="zh-CN"/>
        </w:rPr>
        <w:t>公务用车运维费</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、会议系统维修维护项目、广电中心物管费等</w:t>
      </w:r>
      <w:r>
        <w:rPr>
          <w:rFonts w:hint="default" w:ascii="Times New Roman" w:hAnsi="Times New Roman" w:eastAsia="仿宋_GB2312" w:cs="Times New Roman"/>
          <w:color w:val="auto"/>
          <w:sz w:val="32"/>
          <w:szCs w:val="32"/>
          <w:highlight w:val="none"/>
          <w:lang w:val="en-US" w:eastAsia="zh-CN"/>
        </w:rPr>
        <w:t>5个项目</w:t>
      </w:r>
      <w:r>
        <w:rPr>
          <w:rFonts w:hint="default" w:ascii="Times New Roman" w:hAnsi="Times New Roman" w:eastAsia="仿宋_GB2312" w:cs="Times New Roman"/>
          <w:color w:val="auto"/>
          <w:sz w:val="32"/>
          <w:szCs w:val="32"/>
          <w:highlight w:val="none"/>
        </w:rPr>
        <w:t>开展了预算事前绩效评估，对</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2021年部门预算项目绩效目标自评表见附件（第四部分）</w:t>
      </w:r>
      <w:r>
        <w:rPr>
          <w:rFonts w:hint="default" w:ascii="Times New Roman" w:hAnsi="Times New Roman" w:eastAsia="仿宋_GB2312" w:cs="Times New Roman"/>
          <w:color w:val="auto"/>
          <w:sz w:val="32"/>
          <w:szCs w:val="32"/>
          <w:highlight w:val="none"/>
        </w:rPr>
        <w:t>。</w:t>
      </w:r>
    </w:p>
    <w:p>
      <w:pPr>
        <w:numPr>
          <w:ilvl w:val="0"/>
          <w:numId w:val="1"/>
        </w:numPr>
        <w:spacing w:line="600" w:lineRule="exact"/>
        <w:ind w:firstLine="640"/>
        <w:outlineLvl w:val="1"/>
        <w:rPr>
          <w:rStyle w:val="16"/>
          <w:rFonts w:hint="default" w:ascii="Times New Roman" w:hAnsi="Times New Roman" w:eastAsia="黑体" w:cs="Times New Roman"/>
          <w:b w:val="0"/>
          <w:color w:val="auto"/>
          <w:highlight w:val="none"/>
        </w:rPr>
      </w:pPr>
      <w:bookmarkStart w:id="84" w:name="_Toc9218"/>
      <w:bookmarkStart w:id="85" w:name="_Toc5004"/>
      <w:r>
        <w:rPr>
          <w:rStyle w:val="16"/>
          <w:rFonts w:hint="default" w:ascii="Times New Roman" w:hAnsi="Times New Roman" w:eastAsia="黑体" w:cs="Times New Roman"/>
          <w:b w:val="0"/>
          <w:color w:val="auto"/>
          <w:highlight w:val="none"/>
        </w:rPr>
        <w:t>其他重要事项的情况说明</w:t>
      </w:r>
      <w:bookmarkEnd w:id="82"/>
      <w:bookmarkEnd w:id="83"/>
      <w:bookmarkEnd w:id="84"/>
      <w:bookmarkEnd w:id="85"/>
    </w:p>
    <w:p>
      <w:pPr>
        <w:spacing w:line="600" w:lineRule="exact"/>
        <w:ind w:firstLine="643" w:firstLineChars="200"/>
        <w:outlineLvl w:val="2"/>
        <w:rPr>
          <w:rFonts w:hint="default" w:ascii="Times New Roman" w:hAnsi="Times New Roman" w:eastAsia="仿宋" w:cs="Times New Roman"/>
          <w:color w:val="auto"/>
          <w:sz w:val="32"/>
          <w:szCs w:val="32"/>
          <w:highlight w:val="none"/>
        </w:rPr>
      </w:pPr>
      <w:bookmarkStart w:id="86" w:name="_Toc15377222"/>
      <w:r>
        <w:rPr>
          <w:rFonts w:hint="default" w:ascii="Times New Roman" w:hAnsi="Times New Roman" w:eastAsia="仿宋" w:cs="Times New Roman"/>
          <w:b/>
          <w:color w:val="auto"/>
          <w:sz w:val="32"/>
          <w:szCs w:val="32"/>
          <w:highlight w:val="none"/>
        </w:rPr>
        <w:t>（一）机关运行经费支出情况</w:t>
      </w:r>
      <w:bookmarkEnd w:id="86"/>
    </w:p>
    <w:p>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lang w:eastAsia="zh-CN"/>
        </w:rPr>
        <w:t>机关事务</w:t>
      </w:r>
      <w:r>
        <w:rPr>
          <w:rFonts w:hint="default" w:ascii="Times New Roman" w:hAnsi="Times New Roman" w:eastAsia="仿宋_GB2312" w:cs="Times New Roman"/>
          <w:color w:val="auto"/>
          <w:sz w:val="32"/>
          <w:szCs w:val="32"/>
          <w:highlight w:val="none"/>
          <w:lang w:eastAsia="zh-CN"/>
        </w:rPr>
        <w:t>服务中心未发生机关运行经费支出，</w:t>
      </w:r>
      <w:r>
        <w:rPr>
          <w:rFonts w:hint="default" w:ascii="Times New Roman" w:hAnsi="Times New Roman" w:eastAsia="仿宋_GB2312" w:cs="Times New Roman"/>
          <w:color w:val="auto"/>
          <w:sz w:val="32"/>
          <w:szCs w:val="32"/>
          <w:highlight w:val="none"/>
          <w:lang w:val="en-US" w:eastAsia="zh-CN"/>
        </w:rPr>
        <w:t>较2020年无变化</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87" w:name="_Toc15377223"/>
      <w:r>
        <w:rPr>
          <w:rFonts w:hint="default" w:ascii="Times New Roman" w:hAnsi="Times New Roman" w:eastAsia="仿宋" w:cs="Times New Roman"/>
          <w:b/>
          <w:color w:val="auto"/>
          <w:sz w:val="32"/>
          <w:szCs w:val="32"/>
          <w:highlight w:val="none"/>
        </w:rPr>
        <w:t>（二）政府采购支出情况</w:t>
      </w:r>
      <w:bookmarkEnd w:id="87"/>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机关事务服务中心无</w:t>
      </w:r>
      <w:r>
        <w:rPr>
          <w:rFonts w:hint="default" w:ascii="Times New Roman" w:hAnsi="Times New Roman" w:eastAsia="仿宋_GB2312" w:cs="Times New Roman"/>
          <w:color w:val="auto"/>
          <w:sz w:val="32"/>
          <w:szCs w:val="32"/>
          <w:highlight w:val="none"/>
        </w:rPr>
        <w:t>政府采购支出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较2020年无变化</w:t>
      </w:r>
      <w:r>
        <w:rPr>
          <w:rFonts w:hint="default" w:ascii="Times New Roman" w:hAnsi="Times New Roman" w:eastAsia="仿宋_GB2312" w:cs="Times New Roman"/>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88" w:name="_Toc15377224"/>
      <w:r>
        <w:rPr>
          <w:rFonts w:hint="default" w:ascii="Times New Roman" w:hAnsi="Times New Roman" w:eastAsia="仿宋" w:cs="Times New Roman"/>
          <w:b/>
          <w:color w:val="auto"/>
          <w:sz w:val="32"/>
          <w:szCs w:val="32"/>
          <w:highlight w:val="none"/>
        </w:rPr>
        <w:t>（三）国有资产占有使用情况</w:t>
      </w:r>
      <w:bookmarkEnd w:id="88"/>
    </w:p>
    <w:p>
      <w:pPr>
        <w:autoSpaceDE w:val="0"/>
        <w:autoSpaceDN w:val="0"/>
        <w:adjustRightInd w:val="0"/>
        <w:spacing w:line="600" w:lineRule="exact"/>
        <w:ind w:firstLine="640" w:firstLineChars="200"/>
        <w:jc w:val="left"/>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rPr>
        <w:t>31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机关事务服务中心</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70</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w:t>
      </w:r>
      <w:r>
        <w:rPr>
          <w:rFonts w:hint="default" w:ascii="Times New Roman" w:hAnsi="Times New Roman" w:eastAsia="仿宋_GB2312" w:cs="Times New Roman"/>
          <w:color w:val="auto"/>
          <w:sz w:val="32"/>
          <w:szCs w:val="32"/>
          <w:highlight w:val="none"/>
        </w:rPr>
        <w:t>50</w:t>
      </w:r>
      <w:r>
        <w:rPr>
          <w:rFonts w:hint="default" w:ascii="Times New Roman" w:hAnsi="Times New Roman" w:eastAsia="仿宋_GB2312" w:cs="Times New Roman"/>
          <w:color w:val="auto"/>
          <w:sz w:val="32"/>
          <w:szCs w:val="32"/>
          <w:highlight w:val="none"/>
        </w:rPr>
        <w:t>万元以上通用设备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台（套），单价</w:t>
      </w:r>
      <w:r>
        <w:rPr>
          <w:rFonts w:hint="default" w:ascii="Times New Roman" w:hAnsi="Times New Roman" w:eastAsia="仿宋_GB2312" w:cs="Times New Roman"/>
          <w:color w:val="auto"/>
          <w:sz w:val="32"/>
          <w:szCs w:val="32"/>
          <w:highlight w:val="none"/>
        </w:rPr>
        <w:t>100</w:t>
      </w:r>
      <w:r>
        <w:rPr>
          <w:rFonts w:hint="default" w:ascii="Times New Roman" w:hAnsi="Times New Roman" w:eastAsia="仿宋_GB2312" w:cs="Times New Roman"/>
          <w:color w:val="auto"/>
          <w:sz w:val="32"/>
          <w:szCs w:val="32"/>
          <w:highlight w:val="none"/>
        </w:rPr>
        <w:t>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r>
        <w:rPr>
          <w:rFonts w:hint="default" w:ascii="Times New Roman" w:hAnsi="Times New Roman" w:eastAsia="仿宋_GB2312" w:cs="Times New Roman"/>
          <w:color w:val="auto"/>
          <w:sz w:val="32"/>
          <w:szCs w:val="32"/>
          <w:highlight w:val="none"/>
          <w:lang w:val="en-US" w:eastAsia="zh-CN"/>
        </w:rPr>
        <w:t>。</w:t>
      </w:r>
    </w:p>
    <w:p>
      <w:pPr>
        <w:widowControl/>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pPr>
        <w:numPr>
          <w:ilvl w:val="-1"/>
          <w:numId w:val="0"/>
        </w:numPr>
        <w:spacing w:line="600" w:lineRule="exact"/>
        <w:ind w:firstLine="0" w:firstLineChars="0"/>
        <w:jc w:val="center"/>
        <w:outlineLvl w:val="0"/>
        <w:rPr>
          <w:rStyle w:val="15"/>
          <w:rFonts w:hint="default" w:ascii="Times New Roman" w:hAnsi="Times New Roman" w:eastAsia="黑体" w:cs="Times New Roman"/>
          <w:b w:val="0"/>
          <w:color w:val="auto"/>
          <w:highlight w:val="none"/>
        </w:rPr>
      </w:pPr>
      <w:bookmarkStart w:id="89" w:name="_Toc15377225"/>
      <w:bookmarkStart w:id="90" w:name="_Toc30083"/>
      <w:bookmarkStart w:id="91" w:name="_Toc15396613"/>
      <w:bookmarkStart w:id="92" w:name="_Toc3856"/>
      <w:r>
        <w:rPr>
          <w:rFonts w:hint="default" w:ascii="Times New Roman" w:hAnsi="Times New Roman" w:eastAsia="黑体" w:cs="Times New Roman"/>
          <w:color w:val="auto"/>
          <w:sz w:val="44"/>
          <w:szCs w:val="44"/>
          <w:highlight w:val="none"/>
          <w:lang w:val="en-US" w:eastAsia="zh-CN"/>
        </w:rPr>
        <w:t xml:space="preserve">第三部分 </w:t>
      </w:r>
      <w:r>
        <w:rPr>
          <w:rFonts w:hint="default" w:ascii="Times New Roman" w:hAnsi="Times New Roman" w:eastAsia="黑体" w:cs="Times New Roman"/>
          <w:color w:val="auto"/>
          <w:sz w:val="44"/>
          <w:szCs w:val="44"/>
          <w:highlight w:val="none"/>
        </w:rPr>
        <w:t>名</w:t>
      </w:r>
      <w:r>
        <w:rPr>
          <w:rStyle w:val="15"/>
          <w:rFonts w:hint="default" w:ascii="Times New Roman" w:hAnsi="Times New Roman" w:eastAsia="黑体" w:cs="Times New Roman"/>
          <w:b w:val="0"/>
          <w:color w:val="auto"/>
          <w:highlight w:val="none"/>
        </w:rPr>
        <w:t>词解释</w:t>
      </w:r>
      <w:bookmarkEnd w:id="89"/>
      <w:bookmarkEnd w:id="90"/>
      <w:bookmarkEnd w:id="91"/>
      <w:bookmarkEnd w:id="92"/>
    </w:p>
    <w:p>
      <w:pPr>
        <w:spacing w:line="600" w:lineRule="exact"/>
        <w:jc w:val="left"/>
        <w:rPr>
          <w:rFonts w:hint="default" w:ascii="Times New Roman" w:hAnsi="Times New Roman" w:cs="Times New Roman"/>
          <w:b/>
          <w:color w:val="auto"/>
          <w:sz w:val="44"/>
          <w:szCs w:val="44"/>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rPr>
        <w:t>财政拨款收入：指单位从同级财政部门取得的财政预算资金。</w:t>
      </w:r>
      <w:r>
        <w:rPr>
          <w:rFonts w:hint="default" w:ascii="Times New Roman" w:hAnsi="Times New Roman" w:eastAsia="仿宋_GB2312" w:cs="Times New Roman"/>
          <w:color w:val="auto"/>
          <w:sz w:val="32"/>
          <w:szCs w:val="32"/>
          <w:highlight w:val="none"/>
        </w:rPr>
        <w:t xml:space="preserve">  </w:t>
      </w: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年初结转和结余：指以前年度尚未完成、结转到本年按有关规定继续使用的资金。</w:t>
      </w:r>
      <w:r>
        <w:rPr>
          <w:rFonts w:hint="default" w:ascii="Times New Roman" w:hAnsi="Times New Roman" w:eastAsia="仿宋_GB2312" w:cs="Times New Roman"/>
          <w:color w:val="auto"/>
          <w:sz w:val="32"/>
          <w:szCs w:val="32"/>
          <w:highlight w:val="none"/>
        </w:rPr>
        <w:t xml:space="preserve"> </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SA"/>
        </w:rPr>
        <w:t>一般公共服务（类）政府办公厅（室）及相关机构事务（款）事业运行（项）：</w:t>
      </w:r>
      <w:r>
        <w:rPr>
          <w:rFonts w:hint="default" w:ascii="Times New Roman" w:hAnsi="Times New Roman" w:eastAsia="仿宋_GB2312" w:cs="Times New Roman"/>
          <w:sz w:val="31"/>
          <w:szCs w:val="31"/>
        </w:rPr>
        <w:t>指机关及参公管理事业单位用于保障机构正常运行、开展日常工作的基本支出。</w:t>
      </w:r>
      <w:r>
        <w:rPr>
          <w:rFonts w:hint="default" w:ascii="Times New Roman" w:hAnsi="Times New Roman" w:eastAsia="仿宋_GB2312" w:cs="Times New Roman"/>
          <w:color w:val="auto"/>
          <w:sz w:val="32"/>
          <w:szCs w:val="32"/>
          <w:highlight w:val="none"/>
        </w:rPr>
        <w:t>。</w:t>
      </w:r>
    </w:p>
    <w:p>
      <w:pPr>
        <w:spacing w:line="576" w:lineRule="exact"/>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4.社会保障和就业（类）行政事业单位离退休（款）机关事业单位基本养老保险缴费支出（项）:</w:t>
      </w:r>
      <w:r>
        <w:rPr>
          <w:rFonts w:hint="default" w:ascii="Times New Roman" w:hAnsi="Times New Roman" w:eastAsia="仿宋_GB2312" w:cs="Times New Roman"/>
          <w:sz w:val="31"/>
          <w:szCs w:val="31"/>
        </w:rPr>
        <w:t>指部门实施养老保险制度由单位缴纳的养老保险费的支出</w:t>
      </w:r>
      <w:r>
        <w:rPr>
          <w:rFonts w:hint="default" w:ascii="Times New Roman" w:hAnsi="Times New Roman" w:eastAsia="仿宋_GB2312" w:cs="Times New Roman"/>
          <w:color w:val="auto"/>
          <w:kern w:val="0"/>
          <w:sz w:val="32"/>
          <w:szCs w:val="32"/>
          <w:highlight w:val="none"/>
          <w:lang w:val="en-US" w:eastAsia="zh-CN" w:bidi="ar-SA"/>
        </w:rPr>
        <w:t>。</w:t>
      </w:r>
    </w:p>
    <w:p>
      <w:pPr>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5.卫生健康（类）行政事业单位医疗（款）事业单位医疗（项）:</w:t>
      </w:r>
      <w:r>
        <w:rPr>
          <w:rFonts w:hint="default" w:ascii="Times New Roman" w:hAnsi="Times New Roman" w:eastAsia="仿宋_GB2312" w:cs="Times New Roman"/>
          <w:sz w:val="31"/>
          <w:szCs w:val="31"/>
        </w:rPr>
        <w:t>指机关及参公管理事业单位用于缴纳单位基本医疗保险支出</w:t>
      </w:r>
      <w:r>
        <w:rPr>
          <w:rFonts w:hint="default" w:ascii="Times New Roman" w:hAnsi="Times New Roman" w:eastAsia="仿宋_GB2312" w:cs="Times New Roman"/>
          <w:color w:val="auto"/>
          <w:kern w:val="0"/>
          <w:sz w:val="32"/>
          <w:szCs w:val="32"/>
          <w:highlight w:val="none"/>
          <w:lang w:val="en-US" w:eastAsia="zh-CN" w:bidi="ar-SA"/>
        </w:rPr>
        <w:t>。</w:t>
      </w:r>
    </w:p>
    <w:p>
      <w:pPr>
        <w:spacing w:line="576" w:lineRule="exact"/>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6.住房保障支出（类）住房改革支出（款）住房公积金（项）：</w:t>
      </w:r>
      <w:r>
        <w:rPr>
          <w:rFonts w:hint="default" w:ascii="Times New Roman" w:hAnsi="Times New Roman" w:eastAsia="仿宋_GB2312" w:cs="Times New Roman"/>
          <w:sz w:val="31"/>
          <w:szCs w:val="31"/>
        </w:rPr>
        <w:t>指按照《住房公积金管理条例》的规定，由单位及其在职职工缴存的长期住房储金。</w:t>
      </w:r>
    </w:p>
    <w:p>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pStyle w:val="2"/>
        <w:spacing w:line="560" w:lineRule="exact"/>
        <w:ind w:firstLine="640" w:firstLineChars="200"/>
        <w:rPr>
          <w:rFonts w:hint="default" w:ascii="Times New Roman" w:hAnsi="Times New Roman" w:eastAsia="仿宋_GB2312" w:cs="Times New Roman"/>
          <w:color w:val="auto"/>
          <w:sz w:val="32"/>
          <w:szCs w:val="32"/>
          <w:highlight w:val="none"/>
        </w:rPr>
      </w:pPr>
    </w:p>
    <w:p>
      <w:pPr>
        <w:spacing w:line="600" w:lineRule="exact"/>
        <w:jc w:val="center"/>
        <w:outlineLvl w:val="0"/>
        <w:rPr>
          <w:rStyle w:val="15"/>
          <w:rFonts w:hint="default" w:ascii="Times New Roman" w:hAnsi="Times New Roman" w:eastAsia="黑体" w:cs="Times New Roman"/>
          <w:b w:val="0"/>
          <w:color w:val="auto"/>
          <w:highlight w:val="none"/>
        </w:rPr>
      </w:pPr>
      <w:bookmarkStart w:id="93" w:name="_Toc32146"/>
      <w:bookmarkStart w:id="94" w:name="_Toc15396614"/>
      <w:bookmarkStart w:id="95" w:name="_Toc18346"/>
      <w:bookmarkStart w:id="96" w:name="_Toc15377226"/>
      <w:r>
        <w:rPr>
          <w:rFonts w:hint="default" w:ascii="Times New Roman" w:hAnsi="Times New Roman" w:eastAsia="黑体" w:cs="Times New Roman"/>
          <w:color w:val="auto"/>
          <w:sz w:val="44"/>
          <w:szCs w:val="44"/>
          <w:highlight w:val="none"/>
        </w:rPr>
        <w:t>第</w:t>
      </w:r>
      <w:r>
        <w:rPr>
          <w:rStyle w:val="15"/>
          <w:rFonts w:hint="default" w:ascii="Times New Roman" w:hAnsi="Times New Roman" w:eastAsia="黑体" w:cs="Times New Roman"/>
          <w:b w:val="0"/>
          <w:color w:val="auto"/>
          <w:highlight w:val="none"/>
        </w:rPr>
        <w:t>四部分 附件</w:t>
      </w:r>
      <w:bookmarkEnd w:id="93"/>
      <w:bookmarkEnd w:id="94"/>
      <w:bookmarkEnd w:id="95"/>
    </w:p>
    <w:p>
      <w:pPr>
        <w:keepNext w:val="0"/>
        <w:keepLines w:val="0"/>
        <w:pageBreakBefore w:val="0"/>
        <w:kinsoku/>
        <w:wordWrap/>
        <w:overflowPunct/>
        <w:topLinePunct w:val="0"/>
        <w:autoSpaceDE/>
        <w:autoSpaceDN/>
        <w:bidi w:val="0"/>
        <w:spacing w:line="572" w:lineRule="exact"/>
        <w:jc w:val="left"/>
        <w:textAlignment w:val="auto"/>
        <w:outlineLvl w:val="1"/>
        <w:rPr>
          <w:rFonts w:hint="default" w:ascii="Times New Roman" w:hAnsi="Times New Roman" w:eastAsia="黑体" w:cs="Times New Roman"/>
          <w:color w:val="auto"/>
          <w:sz w:val="32"/>
          <w:szCs w:val="32"/>
          <w:highlight w:val="none"/>
          <w:lang w:val="en-US" w:eastAsia="zh-CN"/>
        </w:rPr>
      </w:pPr>
      <w:bookmarkStart w:id="97" w:name="_Toc2852"/>
      <w:bookmarkStart w:id="98" w:name="_Toc31452"/>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bookmarkEnd w:id="97"/>
      <w:bookmarkEnd w:id="98"/>
    </w:p>
    <w:tbl>
      <w:tblPr>
        <w:tblStyle w:val="11"/>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307"/>
        <w:gridCol w:w="1500"/>
        <w:gridCol w:w="1241"/>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bookmarkStart w:id="99" w:name="_Toc15396618"/>
            <w:r>
              <w:rPr>
                <w:rFonts w:hint="default" w:ascii="Times New Roman" w:hAnsi="Times New Roman" w:eastAsia="宋体" w:cs="Times New Roman"/>
                <w:b/>
                <w:i w:val="0"/>
                <w:color w:val="auto"/>
                <w:sz w:val="32"/>
                <w:szCs w:val="32"/>
                <w:highlight w:val="none"/>
                <w:u w:val="none"/>
                <w:lang w:val="en-US" w:eastAsia="zh-CN"/>
              </w:rPr>
              <w:t>2021年公车运维费项目绩效目标自评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2"/>
                <w:szCs w:val="22"/>
                <w:u w:val="none"/>
                <w:lang w:val="en-US" w:eastAsia="zh-CN"/>
              </w:rPr>
              <w:t>机关事务服务中心414401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sz w:val="22"/>
                <w:szCs w:val="22"/>
                <w:u w:val="none"/>
                <w:lang w:val="en-US" w:eastAsia="zh-CN"/>
              </w:rPr>
              <w:t>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460.00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460.00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cs="Times New Roman"/>
                <w:color w:val="000000"/>
                <w:szCs w:val="21"/>
              </w:rPr>
              <w:t>保障全区公务用车经费，统筹协调全区公务用车的使用，确保安全，合理规范，为全区行政事业单位正常用车提供保障，确保政府工作开展。</w:t>
            </w:r>
          </w:p>
        </w:tc>
        <w:tc>
          <w:tcPr>
            <w:tcW w:w="36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cs="Times New Roman"/>
                <w:color w:val="000000"/>
                <w:szCs w:val="21"/>
              </w:rPr>
              <w:t>保障全区公务用车经费，统筹协调全区公务用车的使用，确保安全，合理规范，为全区行政事业单位正常用车提供保障，确保政府工作开展。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数量指标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公车使用台次</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1.1万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质量指标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不出现安全事故</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时效指标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及时保障用车需求</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成本指标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预算内</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≦460万元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经济效益指标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为全区各部门出行节约开支</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社会效益指标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树立政府良好形象</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生态效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节约成本，生态环保</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为绿色环保做贡献</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通过优化出行方式，为绿色环保做贡献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可持续影响指标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节约成本，为经济发展做贡献</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度指标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服务对象满意度（%）</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100%</w:t>
            </w:r>
          </w:p>
        </w:tc>
      </w:tr>
    </w:tbl>
    <w:p>
      <w:pPr>
        <w:spacing w:line="600" w:lineRule="exact"/>
        <w:jc w:val="center"/>
        <w:outlineLvl w:val="9"/>
        <w:rPr>
          <w:rFonts w:hint="default" w:ascii="Times New Roman" w:hAnsi="Times New Roman" w:eastAsia="黑体" w:cs="Times New Roman"/>
          <w:color w:val="auto"/>
          <w:sz w:val="44"/>
          <w:szCs w:val="44"/>
          <w:highlight w:val="none"/>
        </w:rPr>
      </w:pPr>
    </w:p>
    <w:p>
      <w:pPr>
        <w:widowControl/>
        <w:adjustRightInd w:val="0"/>
        <w:snapToGrid w:val="0"/>
        <w:spacing w:line="580" w:lineRule="exact"/>
        <w:contextualSpacing/>
        <w:jc w:val="left"/>
        <w:rPr>
          <w:rFonts w:hint="default" w:ascii="Times New Roman" w:hAnsi="Times New Roman" w:cs="Times New Roman"/>
          <w:highlight w:val="yellow"/>
        </w:rPr>
      </w:pPr>
    </w:p>
    <w:p>
      <w:pPr>
        <w:pStyle w:val="2"/>
        <w:rPr>
          <w:rFonts w:hint="default" w:ascii="Times New Roman" w:hAnsi="Times New Roman" w:cs="Times New Roman"/>
          <w:highlight w:val="yellow"/>
        </w:rPr>
      </w:pPr>
    </w:p>
    <w:p>
      <w:pPr>
        <w:pStyle w:val="2"/>
        <w:rPr>
          <w:rFonts w:hint="default" w:ascii="Times New Roman" w:hAnsi="Times New Roman" w:cs="Times New Roman"/>
          <w:highlight w:val="yellow"/>
        </w:rPr>
      </w:pPr>
    </w:p>
    <w:p>
      <w:pPr>
        <w:pStyle w:val="2"/>
        <w:rPr>
          <w:rFonts w:hint="default" w:ascii="Times New Roman" w:hAnsi="Times New Roman" w:cs="Times New Roman"/>
          <w:highlight w:val="yellow"/>
        </w:rPr>
      </w:pPr>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32"/>
          <w:szCs w:val="32"/>
          <w:highlight w:val="none"/>
          <w:lang w:val="en-US" w:eastAsia="zh-CN"/>
        </w:rPr>
      </w:pPr>
      <w:bookmarkStart w:id="100" w:name="_Toc24287"/>
      <w:bookmarkStart w:id="101" w:name="_Toc28403"/>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bookmarkEnd w:id="100"/>
      <w:bookmarkEnd w:id="101"/>
    </w:p>
    <w:tbl>
      <w:tblPr>
        <w:tblStyle w:val="11"/>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宋体" w:cs="Times New Roman"/>
                <w:b/>
                <w:i w:val="0"/>
                <w:color w:val="auto"/>
                <w:sz w:val="32"/>
                <w:szCs w:val="32"/>
                <w:highlight w:val="none"/>
                <w:u w:val="none"/>
                <w:lang w:val="en-US" w:eastAsia="zh-CN"/>
              </w:rPr>
              <w:t>2021年</w:t>
            </w:r>
            <w:r>
              <w:rPr>
                <w:rFonts w:hint="default" w:ascii="Times New Roman" w:hAnsi="Times New Roman" w:cs="Times New Roman"/>
                <w:b/>
                <w:i w:val="0"/>
                <w:color w:val="auto"/>
                <w:sz w:val="32"/>
                <w:szCs w:val="32"/>
                <w:highlight w:val="none"/>
                <w:u w:val="none"/>
                <w:lang w:val="en-US" w:eastAsia="zh-CN"/>
              </w:rPr>
              <w:t>广电中心物管费</w:t>
            </w:r>
            <w:r>
              <w:rPr>
                <w:rFonts w:hint="default" w:ascii="Times New Roman" w:hAnsi="Times New Roman" w:eastAsia="宋体" w:cs="Times New Roman"/>
                <w:b/>
                <w:i w:val="0"/>
                <w:color w:val="auto"/>
                <w:sz w:val="32"/>
                <w:szCs w:val="32"/>
                <w:highlight w:val="none"/>
                <w:u w:val="none"/>
                <w:lang w:val="en-US" w:eastAsia="zh-CN"/>
              </w:rPr>
              <w:t>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i w:val="0"/>
                <w:color w:val="auto"/>
                <w:sz w:val="22"/>
                <w:szCs w:val="22"/>
                <w:u w:val="none"/>
                <w:lang w:val="en-US" w:eastAsia="zh-CN"/>
              </w:rPr>
              <w:t>机关事务服务中心414401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i w:val="0"/>
                <w:color w:val="auto"/>
                <w:sz w:val="22"/>
                <w:szCs w:val="22"/>
                <w:u w:val="none"/>
                <w:lang w:val="en-US" w:eastAsia="zh-CN"/>
              </w:rPr>
              <w:t>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47.00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47.00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cs="Times New Roman"/>
                <w:color w:val="000000"/>
                <w:szCs w:val="21"/>
              </w:rPr>
              <w:t>监督物业管理公司，做好广电大楼的管理，保障好广电大楼设备、公用设施及周边绿化、卫生、交通、治安和环境</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cs="Times New Roman"/>
                <w:color w:val="000000"/>
                <w:szCs w:val="21"/>
              </w:rPr>
              <w:t>监督物业管理公司，做好广电大楼的管理，保障好广电大楼设备、公用设施及周边绿化、卫生、交通、治安和环境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物管人数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8人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物业管理效果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物业管理时间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预算额内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 xml:space="preserve">47万元 </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47万元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统一管理，节约成本</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color w:val="000000"/>
                <w:sz w:val="21"/>
                <w:szCs w:val="21"/>
              </w:rPr>
              <w:t>提升勤务人员素质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color w:val="000000"/>
                <w:sz w:val="21"/>
                <w:szCs w:val="21"/>
              </w:rPr>
              <w:t>保障舒适工作环境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0"/>
                <w:szCs w:val="20"/>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color w:val="000000"/>
                <w:sz w:val="21"/>
                <w:szCs w:val="21"/>
              </w:rPr>
              <w:t>长期保持良好环境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color w:val="000000"/>
                <w:sz w:val="21"/>
                <w:szCs w:val="21"/>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lang w:val="en-US" w:eastAsia="zh-CN"/>
              </w:rPr>
              <w:t>≧98%</w:t>
            </w:r>
          </w:p>
        </w:tc>
      </w:tr>
    </w:tbl>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cs="Times New Roman"/>
          <w:highlight w:val="yellow"/>
        </w:rPr>
      </w:pPr>
    </w:p>
    <w:p>
      <w:pPr>
        <w:pStyle w:val="2"/>
        <w:rPr>
          <w:rFonts w:hint="default" w:ascii="Times New Roman" w:hAnsi="Times New Roman" w:cs="Times New Roman"/>
          <w:highlight w:val="yellow"/>
        </w:rPr>
      </w:pPr>
    </w:p>
    <w:p>
      <w:pPr>
        <w:pStyle w:val="2"/>
        <w:rPr>
          <w:rFonts w:hint="default" w:ascii="Times New Roman" w:hAnsi="Times New Roman" w:cs="Times New Roman"/>
          <w:highlight w:val="yellow"/>
        </w:rPr>
      </w:pPr>
    </w:p>
    <w:p>
      <w:pPr>
        <w:pStyle w:val="2"/>
        <w:rPr>
          <w:rFonts w:hint="default" w:ascii="Times New Roman" w:hAnsi="Times New Roman" w:cs="Times New Roman"/>
          <w:highlight w:val="yellow"/>
        </w:rPr>
      </w:pPr>
    </w:p>
    <w:p>
      <w:pPr>
        <w:keepNext w:val="0"/>
        <w:keepLines w:val="0"/>
        <w:pageBreakBefore w:val="0"/>
        <w:kinsoku/>
        <w:wordWrap/>
        <w:overflowPunct/>
        <w:topLinePunct w:val="0"/>
        <w:autoSpaceDE/>
        <w:autoSpaceDN/>
        <w:bidi w:val="0"/>
        <w:spacing w:line="572" w:lineRule="exact"/>
        <w:jc w:val="left"/>
        <w:textAlignment w:val="auto"/>
        <w:outlineLvl w:val="9"/>
        <w:rPr>
          <w:rFonts w:hint="default" w:ascii="Times New Roman" w:hAnsi="Times New Roman" w:eastAsia="黑体" w:cs="Times New Roman"/>
          <w:color w:val="auto"/>
          <w:sz w:val="32"/>
          <w:szCs w:val="32"/>
          <w:highlight w:val="none"/>
        </w:rPr>
      </w:pPr>
      <w:bookmarkStart w:id="102" w:name="_Toc25931"/>
    </w:p>
    <w:p>
      <w:pPr>
        <w:keepNext w:val="0"/>
        <w:keepLines w:val="0"/>
        <w:pageBreakBefore w:val="0"/>
        <w:kinsoku/>
        <w:wordWrap/>
        <w:overflowPunct/>
        <w:topLinePunct w:val="0"/>
        <w:autoSpaceDE/>
        <w:autoSpaceDN/>
        <w:bidi w:val="0"/>
        <w:spacing w:line="572" w:lineRule="exact"/>
        <w:jc w:val="left"/>
        <w:textAlignment w:val="auto"/>
        <w:outlineLvl w:val="9"/>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32"/>
          <w:szCs w:val="32"/>
          <w:highlight w:val="none"/>
          <w:lang w:val="en-US" w:eastAsia="zh-CN"/>
        </w:rPr>
      </w:pPr>
      <w:bookmarkStart w:id="103" w:name="_Toc15259"/>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bookmarkEnd w:id="102"/>
      <w:bookmarkEnd w:id="103"/>
    </w:p>
    <w:tbl>
      <w:tblPr>
        <w:tblStyle w:val="11"/>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宋体" w:cs="Times New Roman"/>
                <w:b/>
                <w:i w:val="0"/>
                <w:color w:val="auto"/>
                <w:sz w:val="32"/>
                <w:szCs w:val="32"/>
                <w:highlight w:val="none"/>
                <w:u w:val="none"/>
                <w:lang w:val="en-US" w:eastAsia="zh-CN"/>
              </w:rPr>
              <w:t>2021年</w:t>
            </w:r>
            <w:r>
              <w:rPr>
                <w:rFonts w:hint="default" w:ascii="Times New Roman" w:hAnsi="Times New Roman" w:cs="Times New Roman"/>
                <w:b/>
                <w:i w:val="0"/>
                <w:color w:val="auto"/>
                <w:sz w:val="32"/>
                <w:szCs w:val="32"/>
                <w:highlight w:val="none"/>
                <w:u w:val="none"/>
                <w:lang w:val="en-US" w:eastAsia="zh-CN"/>
              </w:rPr>
              <w:t>会议系统维修维护项目</w:t>
            </w:r>
            <w:r>
              <w:rPr>
                <w:rFonts w:hint="default" w:ascii="Times New Roman" w:hAnsi="Times New Roman" w:eastAsia="宋体" w:cs="Times New Roman"/>
                <w:b/>
                <w:i w:val="0"/>
                <w:color w:val="auto"/>
                <w:sz w:val="32"/>
                <w:szCs w:val="32"/>
                <w:highlight w:val="none"/>
                <w:u w:val="none"/>
                <w:lang w:val="en-US" w:eastAsia="zh-CN"/>
              </w:rPr>
              <w:t>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i w:val="0"/>
                <w:color w:val="auto"/>
                <w:sz w:val="22"/>
                <w:szCs w:val="22"/>
                <w:u w:val="none"/>
                <w:lang w:val="en-US" w:eastAsia="zh-CN"/>
              </w:rPr>
              <w:t>机关事务服务中心414401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i w:val="0"/>
                <w:color w:val="auto"/>
                <w:sz w:val="22"/>
                <w:szCs w:val="22"/>
                <w:u w:val="none"/>
                <w:lang w:val="en-US" w:eastAsia="zh-CN"/>
              </w:rPr>
              <w:t>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60.00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60.00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sz w:val="24"/>
                <w:szCs w:val="24"/>
                <w:u w:val="none"/>
              </w:rPr>
              <w:t>保障区委区政府、区级各部门组织的会议顺利召开，视频会议系统无差错，不影响会议进程，确保会议效果良好。</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sz w:val="24"/>
                <w:szCs w:val="24"/>
                <w:u w:val="none"/>
              </w:rPr>
              <w:t>保障区委区政府、区级各部门组织的会议顺利召开，视频会议系统无差错，不影响会议进程，确保会议效果良好。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数量指标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负责会议室数量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4个</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质量指标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会议保障0差错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2"/>
                <w:sz w:val="21"/>
                <w:szCs w:val="21"/>
                <w:u w:val="none"/>
                <w:lang w:val="en-US" w:eastAsia="zh-CN" w:bidi="ar-SA"/>
              </w:rPr>
              <w:t>0事故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2"/>
                <w:sz w:val="21"/>
                <w:szCs w:val="21"/>
                <w:u w:val="none"/>
                <w:lang w:val="en-US" w:eastAsia="zh-CN" w:bidi="ar-SA"/>
              </w:rPr>
              <w:t>0事故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时效指标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保障时间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成本指标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预算内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60万元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经济效益指标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随时维护，减少更换</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社会效益指标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维修及时，无投诉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0件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可持续影响指标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会议系统使用周期长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0"/>
                <w:sz w:val="21"/>
                <w:szCs w:val="21"/>
                <w:u w:val="none"/>
                <w:lang w:val="en-US" w:eastAsia="zh-CN" w:bidi="ar"/>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lang w:val="en-US" w:eastAsia="zh-CN"/>
              </w:rPr>
              <w:t>参会人员满意度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98%</w:t>
            </w:r>
          </w:p>
        </w:tc>
      </w:tr>
    </w:tbl>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32"/>
          <w:szCs w:val="32"/>
          <w:highlight w:val="none"/>
          <w:lang w:val="en-US" w:eastAsia="zh-CN"/>
        </w:rPr>
      </w:pPr>
      <w:bookmarkStart w:id="104" w:name="_Toc10334"/>
      <w:bookmarkStart w:id="105" w:name="_Toc9484"/>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4</w:t>
      </w:r>
      <w:bookmarkEnd w:id="104"/>
      <w:bookmarkEnd w:id="105"/>
    </w:p>
    <w:tbl>
      <w:tblPr>
        <w:tblStyle w:val="11"/>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宋体" w:cs="Times New Roman"/>
                <w:b/>
                <w:i w:val="0"/>
                <w:color w:val="auto"/>
                <w:sz w:val="32"/>
                <w:szCs w:val="32"/>
                <w:highlight w:val="none"/>
                <w:u w:val="none"/>
                <w:lang w:val="en-US" w:eastAsia="zh-CN"/>
              </w:rPr>
              <w:t>2021年</w:t>
            </w:r>
            <w:r>
              <w:rPr>
                <w:rFonts w:hint="default" w:ascii="Times New Roman" w:hAnsi="Times New Roman" w:cs="Times New Roman"/>
                <w:b/>
                <w:i w:val="0"/>
                <w:color w:val="auto"/>
                <w:sz w:val="32"/>
                <w:szCs w:val="32"/>
                <w:highlight w:val="none"/>
                <w:u w:val="none"/>
                <w:lang w:val="en-US" w:eastAsia="zh-CN"/>
              </w:rPr>
              <w:t>广电中心办公楼水电费项目</w:t>
            </w:r>
            <w:r>
              <w:rPr>
                <w:rFonts w:hint="default" w:ascii="Times New Roman" w:hAnsi="Times New Roman" w:eastAsia="宋体" w:cs="Times New Roman"/>
                <w:b/>
                <w:i w:val="0"/>
                <w:color w:val="auto"/>
                <w:sz w:val="32"/>
                <w:szCs w:val="32"/>
                <w:highlight w:val="none"/>
                <w:u w:val="none"/>
                <w:lang w:val="en-US" w:eastAsia="zh-CN"/>
              </w:rPr>
              <w:t>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i w:val="0"/>
                <w:color w:val="auto"/>
                <w:sz w:val="22"/>
                <w:szCs w:val="22"/>
                <w:u w:val="none"/>
                <w:lang w:val="en-US" w:eastAsia="zh-CN"/>
              </w:rPr>
              <w:t>机关事务服务中心414401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i w:val="0"/>
                <w:color w:val="auto"/>
                <w:sz w:val="22"/>
                <w:szCs w:val="22"/>
                <w:u w:val="none"/>
                <w:lang w:val="en-US" w:eastAsia="zh-CN"/>
              </w:rPr>
              <w:t>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92.00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92.00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sz w:val="24"/>
                <w:szCs w:val="24"/>
                <w:u w:val="none"/>
              </w:rPr>
              <w:t>保障广电中心大楼各机关各部门正常使用水电费用</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sz w:val="24"/>
                <w:szCs w:val="24"/>
                <w:u w:val="none"/>
              </w:rPr>
              <w:t>保障广电中心大楼各机关各部门正常使用水电费用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数量指标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水电费全年缴纳次数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12次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质量指标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水电保障0差错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2"/>
                <w:sz w:val="21"/>
                <w:szCs w:val="21"/>
                <w:u w:val="none"/>
                <w:lang w:val="en-US" w:eastAsia="zh-CN" w:bidi="ar-SA"/>
              </w:rPr>
              <w:t>0事故</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2"/>
                <w:sz w:val="21"/>
                <w:szCs w:val="21"/>
                <w:u w:val="none"/>
                <w:lang w:val="en-US" w:eastAsia="zh-CN" w:bidi="ar-SA"/>
              </w:rPr>
              <w:t>0事故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时效指标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保障时间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成本指标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预算内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经济效益指标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节水节电</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社会效益指标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各政府单位正常运作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kern w:val="2"/>
                <w:sz w:val="21"/>
                <w:szCs w:val="21"/>
                <w:u w:val="none"/>
                <w:lang w:val="en-US" w:eastAsia="zh-CN" w:bidi="ar-SA"/>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0"/>
                <w:sz w:val="21"/>
                <w:szCs w:val="21"/>
                <w:u w:val="none"/>
                <w:lang w:val="en-US" w:eastAsia="zh-CN" w:bidi="ar"/>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lang w:val="en-US" w:eastAsia="zh-CN"/>
              </w:rPr>
              <w:t>用电单位满意度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98%</w:t>
            </w:r>
          </w:p>
        </w:tc>
      </w:tr>
    </w:tbl>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spacing w:line="600" w:lineRule="exact"/>
        <w:jc w:val="center"/>
        <w:outlineLvl w:val="9"/>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p>
      <w:pPr>
        <w:pStyle w:val="2"/>
        <w:rPr>
          <w:rFonts w:hint="default" w:ascii="Times New Roman" w:hAnsi="Times New Roman" w:eastAsia="黑体" w:cs="Times New Roman"/>
          <w:color w:val="auto"/>
          <w:sz w:val="44"/>
          <w:szCs w:val="44"/>
          <w:highlight w:val="none"/>
        </w:rPr>
      </w:pPr>
    </w:p>
    <w:tbl>
      <w:tblPr>
        <w:tblStyle w:val="11"/>
        <w:tblpPr w:leftFromText="180" w:rightFromText="180" w:vertAnchor="text" w:horzAnchor="page" w:tblpX="1229" w:tblpY="1163"/>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default" w:ascii="Times New Roman" w:hAnsi="Times New Roman" w:eastAsia="宋体" w:cs="Times New Roman"/>
                <w:b/>
                <w:i w:val="0"/>
                <w:color w:val="auto"/>
                <w:sz w:val="32"/>
                <w:szCs w:val="32"/>
                <w:u w:val="none"/>
              </w:rPr>
            </w:pPr>
            <w:r>
              <w:rPr>
                <w:rFonts w:hint="default" w:ascii="Times New Roman" w:hAnsi="Times New Roman" w:eastAsia="宋体" w:cs="Times New Roman"/>
                <w:b/>
                <w:i w:val="0"/>
                <w:color w:val="auto"/>
                <w:sz w:val="32"/>
                <w:szCs w:val="32"/>
                <w:highlight w:val="none"/>
                <w:u w:val="none"/>
                <w:lang w:val="en-US" w:eastAsia="zh-CN"/>
              </w:rPr>
              <w:t>2021年</w:t>
            </w:r>
            <w:r>
              <w:rPr>
                <w:rFonts w:hint="default" w:ascii="Times New Roman" w:hAnsi="Times New Roman" w:cs="Times New Roman"/>
                <w:b/>
                <w:i w:val="0"/>
                <w:color w:val="auto"/>
                <w:sz w:val="32"/>
                <w:szCs w:val="32"/>
                <w:highlight w:val="none"/>
                <w:u w:val="none"/>
                <w:lang w:val="en-US" w:eastAsia="zh-CN"/>
              </w:rPr>
              <w:t>广电中心大楼维修维护费项目</w:t>
            </w:r>
            <w:r>
              <w:rPr>
                <w:rFonts w:hint="default" w:ascii="Times New Roman" w:hAnsi="Times New Roman" w:eastAsia="宋体" w:cs="Times New Roman"/>
                <w:b/>
                <w:i w:val="0"/>
                <w:color w:val="auto"/>
                <w:sz w:val="32"/>
                <w:szCs w:val="32"/>
                <w:highlight w:val="none"/>
                <w:u w:val="none"/>
                <w:lang w:val="en-US" w:eastAsia="zh-CN"/>
              </w:rPr>
              <w:t>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i w:val="0"/>
                <w:color w:val="auto"/>
                <w:sz w:val="22"/>
                <w:szCs w:val="22"/>
                <w:u w:val="none"/>
                <w:lang w:val="en-US" w:eastAsia="zh-CN"/>
              </w:rPr>
              <w:t>机关事务服务中心414401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4"/>
                <w:szCs w:val="24"/>
                <w:u w:val="none"/>
                <w:lang w:val="en-US" w:eastAsia="zh-CN" w:bidi="ar-SA"/>
              </w:rPr>
            </w:pPr>
            <w:r>
              <w:rPr>
                <w:rFonts w:hint="default" w:ascii="Times New Roman" w:hAnsi="Times New Roman" w:eastAsia="宋体" w:cs="Times New Roman"/>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i w:val="0"/>
                <w:color w:val="auto"/>
                <w:sz w:val="22"/>
                <w:szCs w:val="22"/>
                <w:u w:val="none"/>
                <w:lang w:val="en-US" w:eastAsia="zh-CN"/>
              </w:rPr>
              <w:t>机关事务服务中心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20.00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20.00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rPr>
              <w:t>做好广电办公大楼维修维护工作，保持办公大楼原有的使用功能，维护墙面外围、灯具等各类设施破损，对空调外机、消防等设施设备的日常运行维护进行有效管理，加强绿化养护，确保机关环境卫生整洁，为机关办公营造绿色健康、整洁、舒适、文明、安全、方便的办公环境</w:t>
            </w:r>
            <w:r>
              <w:rPr>
                <w:rFonts w:hint="default" w:ascii="Times New Roman" w:hAnsi="Times New Roman" w:cs="Times New Roman"/>
                <w:i w:val="0"/>
                <w:color w:val="auto"/>
                <w:sz w:val="24"/>
                <w:szCs w:val="24"/>
                <w:u w:val="none"/>
                <w:lang w:eastAsia="zh-CN"/>
              </w:rPr>
              <w:t>。</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sz w:val="24"/>
                <w:szCs w:val="24"/>
                <w:u w:val="none"/>
              </w:rPr>
              <w:t>做好广电办公大楼维修维护工作，保持办公大楼原有的使用功能，维护墙面外围、灯具等各类设施破损，对空调外机、消防等设施设备的日常运行维护进行有效管理，加强绿化养护，确保机关环境卫生整洁，为机关办公营造绿色健康、整洁、舒适、文明、安全、方便的办公环境。</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年度绩效指标完成情况</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8"/>
                <w:szCs w:val="28"/>
                <w:u w:val="none"/>
                <w:lang w:val="en-US" w:eastAsia="zh-CN" w:bidi="ar"/>
              </w:rPr>
            </w:pPr>
            <w:r>
              <w:rPr>
                <w:rFonts w:hint="default" w:ascii="Times New Roman" w:hAnsi="Times New Roman" w:eastAsia="仿宋_GB2312" w:cs="Times New Roman"/>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数量指标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办公室维修维护间数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240间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240间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质量指标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sz w:val="21"/>
                <w:szCs w:val="21"/>
              </w:rPr>
              <w:t>被维护地完好率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2"/>
                <w:sz w:val="21"/>
                <w:szCs w:val="21"/>
                <w:u w:val="none"/>
                <w:lang w:val="en-US" w:eastAsia="zh-CN" w:bidi="ar-SA"/>
              </w:rPr>
              <w:t>≧99%</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2"/>
                <w:sz w:val="21"/>
                <w:szCs w:val="21"/>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时效指标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保障时间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成本指标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预算内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20万元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经济效益指标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集中修整，减少资金流失，提高资金利用率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eastAsiaTheme="minorEastAsia"/>
                <w:i w:val="0"/>
                <w:color w:val="auto"/>
                <w:sz w:val="21"/>
                <w:szCs w:val="21"/>
                <w:u w:val="none"/>
              </w:rPr>
            </w:pP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default" w:ascii="Times New Roman" w:hAnsi="Times New Roman" w:cs="Times New Roman" w:eastAsiaTheme="minorEastAsia"/>
                <w:i w:val="0"/>
                <w:color w:val="auto"/>
                <w:sz w:val="21"/>
                <w:szCs w:val="21"/>
                <w:u w:val="none"/>
              </w:rPr>
            </w:pPr>
            <w:r>
              <w:rPr>
                <w:rFonts w:hint="default" w:ascii="Times New Roman" w:hAnsi="Times New Roman" w:cs="Times New Roman" w:eastAsiaTheme="minorEastAsia"/>
                <w:i w:val="0"/>
                <w:color w:val="auto"/>
                <w:kern w:val="0"/>
                <w:sz w:val="21"/>
                <w:szCs w:val="21"/>
                <w:u w:val="none"/>
                <w:lang w:val="en-US" w:eastAsia="zh-CN" w:bidi="ar"/>
              </w:rPr>
              <w:t>可持续影响指标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随时维护，使用周期长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sz w:val="21"/>
                <w:szCs w:val="21"/>
                <w:u w:val="none"/>
                <w:lang w:val="en-US" w:eastAsia="zh-CN"/>
              </w:rPr>
            </w:pPr>
            <w:r>
              <w:rPr>
                <w:rFonts w:hint="default" w:ascii="Times New Roman" w:hAnsi="Times New Roman" w:cs="Times New Roman" w:eastAsiaTheme="minorEastAsia"/>
                <w:i w:val="0"/>
                <w:color w:val="auto"/>
                <w:sz w:val="21"/>
                <w:szCs w:val="21"/>
                <w:u w:val="none"/>
                <w:lang w:val="en-US" w:eastAsia="zh-CN"/>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1"/>
                <w:szCs w:val="21"/>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0"/>
                <w:sz w:val="21"/>
                <w:szCs w:val="21"/>
                <w:u w:val="none"/>
                <w:lang w:val="en-US" w:eastAsia="zh-CN" w:bidi="ar"/>
              </w:rPr>
              <w:t>度指标</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kern w:val="0"/>
                <w:sz w:val="21"/>
                <w:szCs w:val="21"/>
                <w:u w:val="none"/>
                <w:lang w:val="en-US" w:eastAsia="zh-CN" w:bidi="ar"/>
              </w:rPr>
              <w:t>指标</w:t>
            </w:r>
          </w:p>
        </w:tc>
        <w:tc>
          <w:tcPr>
            <w:tcW w:w="118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lang w:val="en-US" w:eastAsia="zh-CN"/>
              </w:rPr>
              <w:t>职工满意度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Times New Roman" w:hAnsi="Times New Roman" w:cs="Times New Roman" w:eastAsiaTheme="minorEastAsia"/>
                <w:i w:val="0"/>
                <w:color w:val="auto"/>
                <w:kern w:val="2"/>
                <w:sz w:val="21"/>
                <w:szCs w:val="21"/>
                <w:u w:val="none"/>
                <w:lang w:val="en-US" w:eastAsia="zh-CN" w:bidi="ar-SA"/>
              </w:rPr>
            </w:pPr>
            <w:r>
              <w:rPr>
                <w:rFonts w:hint="default" w:ascii="Times New Roman" w:hAnsi="Times New Roman" w:cs="Times New Roman" w:eastAsiaTheme="minorEastAsia"/>
                <w:i w:val="0"/>
                <w:color w:val="auto"/>
                <w:sz w:val="21"/>
                <w:szCs w:val="21"/>
                <w:u w:val="none"/>
              </w:rPr>
              <w:t>≧</w:t>
            </w:r>
            <w:r>
              <w:rPr>
                <w:rFonts w:hint="default" w:ascii="Times New Roman" w:hAnsi="Times New Roman" w:cs="Times New Roman" w:eastAsiaTheme="minorEastAsia"/>
                <w:i w:val="0"/>
                <w:color w:val="auto"/>
                <w:sz w:val="21"/>
                <w:szCs w:val="21"/>
                <w:u w:val="none"/>
                <w:lang w:val="en-US" w:eastAsia="zh-CN"/>
              </w:rPr>
              <w:t>98%</w:t>
            </w:r>
          </w:p>
        </w:tc>
      </w:tr>
    </w:tbl>
    <w:p>
      <w:pPr>
        <w:keepNext w:val="0"/>
        <w:keepLines w:val="0"/>
        <w:pageBreakBefore w:val="0"/>
        <w:kinsoku/>
        <w:wordWrap/>
        <w:overflowPunct/>
        <w:topLinePunct w:val="0"/>
        <w:autoSpaceDE/>
        <w:autoSpaceDN/>
        <w:bidi w:val="0"/>
        <w:spacing w:line="572" w:lineRule="exact"/>
        <w:jc w:val="left"/>
        <w:textAlignment w:val="auto"/>
        <w:outlineLvl w:val="0"/>
        <w:rPr>
          <w:rFonts w:hint="default" w:ascii="Times New Roman" w:hAnsi="Times New Roman" w:eastAsia="黑体" w:cs="Times New Roman"/>
          <w:color w:val="auto"/>
          <w:sz w:val="44"/>
          <w:szCs w:val="44"/>
          <w:highlight w:val="none"/>
        </w:rPr>
      </w:pPr>
      <w:bookmarkStart w:id="106" w:name="_Toc2699"/>
      <w:bookmarkStart w:id="107" w:name="_Toc23532"/>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5</w:t>
      </w:r>
      <w:bookmarkEnd w:id="106"/>
      <w:bookmarkEnd w:id="107"/>
    </w:p>
    <w:p>
      <w:pPr>
        <w:spacing w:line="600" w:lineRule="exact"/>
        <w:jc w:val="center"/>
        <w:outlineLvl w:val="0"/>
        <w:rPr>
          <w:rFonts w:hint="default" w:ascii="Times New Roman" w:hAnsi="Times New Roman" w:eastAsia="仿宋" w:cs="Times New Roman"/>
          <w:b w:val="0"/>
          <w:color w:val="auto"/>
          <w:highlight w:val="none"/>
        </w:rPr>
      </w:pPr>
      <w:bookmarkStart w:id="108" w:name="_Toc5764"/>
      <w:bookmarkStart w:id="109" w:name="_Toc31074"/>
      <w:r>
        <w:rPr>
          <w:rFonts w:hint="default" w:ascii="Times New Roman" w:hAnsi="Times New Roman" w:eastAsia="黑体" w:cs="Times New Roman"/>
          <w:color w:val="auto"/>
          <w:sz w:val="44"/>
          <w:szCs w:val="44"/>
          <w:highlight w:val="none"/>
        </w:rPr>
        <w:t>第</w:t>
      </w:r>
      <w:r>
        <w:rPr>
          <w:rStyle w:val="15"/>
          <w:rFonts w:hint="default" w:ascii="Times New Roman" w:hAnsi="Times New Roman" w:eastAsia="黑体" w:cs="Times New Roman"/>
          <w:b w:val="0"/>
          <w:color w:val="auto"/>
          <w:highlight w:val="none"/>
        </w:rPr>
        <w:t>五部分 附表</w:t>
      </w:r>
      <w:bookmarkEnd w:id="96"/>
      <w:bookmarkEnd w:id="99"/>
      <w:bookmarkEnd w:id="108"/>
      <w:bookmarkEnd w:id="109"/>
      <w:bookmarkStart w:id="110" w:name="_Toc15396619"/>
    </w:p>
    <w:p>
      <w:pPr>
        <w:pStyle w:val="4"/>
        <w:spacing w:before="0" w:after="0" w:line="576" w:lineRule="exact"/>
        <w:rPr>
          <w:rFonts w:hint="default" w:ascii="Times New Roman" w:hAnsi="Times New Roman" w:eastAsia="仿宋" w:cs="Times New Roman"/>
          <w:color w:val="auto"/>
          <w:highlight w:val="none"/>
        </w:rPr>
      </w:pPr>
      <w:bookmarkStart w:id="111" w:name="_Toc32009"/>
      <w:bookmarkStart w:id="112" w:name="_Toc18349"/>
      <w:r>
        <w:rPr>
          <w:rFonts w:hint="default" w:ascii="Times New Roman" w:hAnsi="Times New Roman" w:eastAsia="仿宋" w:cs="Times New Roman"/>
          <w:b w:val="0"/>
          <w:color w:val="auto"/>
          <w:highlight w:val="none"/>
        </w:rPr>
        <w:t>一、收</w:t>
      </w:r>
      <w:r>
        <w:rPr>
          <w:rStyle w:val="16"/>
          <w:rFonts w:hint="default" w:ascii="Times New Roman" w:hAnsi="Times New Roman" w:eastAsia="仿宋" w:cs="Times New Roman"/>
          <w:b w:val="0"/>
          <w:bCs w:val="0"/>
          <w:color w:val="auto"/>
          <w:highlight w:val="none"/>
        </w:rPr>
        <w:t>入支出决算总表</w:t>
      </w:r>
      <w:bookmarkEnd w:id="110"/>
      <w:bookmarkEnd w:id="111"/>
      <w:bookmarkEnd w:id="112"/>
    </w:p>
    <w:p>
      <w:pPr>
        <w:pStyle w:val="4"/>
        <w:spacing w:before="0" w:after="0" w:line="576" w:lineRule="exact"/>
        <w:rPr>
          <w:rFonts w:hint="default" w:ascii="Times New Roman" w:hAnsi="Times New Roman" w:eastAsia="仿宋" w:cs="Times New Roman"/>
          <w:color w:val="auto"/>
          <w:highlight w:val="none"/>
        </w:rPr>
      </w:pPr>
      <w:bookmarkStart w:id="113" w:name="_Toc1113"/>
      <w:bookmarkStart w:id="114" w:name="_Toc15396620"/>
      <w:bookmarkStart w:id="115" w:name="_Toc25078"/>
      <w:r>
        <w:rPr>
          <w:rFonts w:hint="default" w:ascii="Times New Roman" w:hAnsi="Times New Roman" w:eastAsia="仿宋" w:cs="Times New Roman"/>
          <w:b w:val="0"/>
          <w:color w:val="auto"/>
          <w:highlight w:val="none"/>
        </w:rPr>
        <w:t>二、收</w:t>
      </w:r>
      <w:r>
        <w:rPr>
          <w:rStyle w:val="16"/>
          <w:rFonts w:hint="default" w:ascii="Times New Roman" w:hAnsi="Times New Roman" w:eastAsia="仿宋" w:cs="Times New Roman"/>
          <w:b w:val="0"/>
          <w:bCs w:val="0"/>
          <w:color w:val="auto"/>
          <w:highlight w:val="none"/>
        </w:rPr>
        <w:t>入决算表</w:t>
      </w:r>
      <w:bookmarkEnd w:id="113"/>
      <w:bookmarkEnd w:id="114"/>
      <w:bookmarkEnd w:id="115"/>
    </w:p>
    <w:p>
      <w:pPr>
        <w:pStyle w:val="4"/>
        <w:spacing w:before="0" w:after="0" w:line="576" w:lineRule="exact"/>
        <w:rPr>
          <w:rFonts w:hint="default" w:ascii="Times New Roman" w:hAnsi="Times New Roman" w:eastAsia="仿宋" w:cs="Times New Roman"/>
          <w:color w:val="auto"/>
          <w:highlight w:val="none"/>
        </w:rPr>
      </w:pPr>
      <w:bookmarkStart w:id="116" w:name="_Toc28480"/>
      <w:bookmarkStart w:id="117" w:name="_Toc15396621"/>
      <w:bookmarkStart w:id="118" w:name="_Toc22540"/>
      <w:r>
        <w:rPr>
          <w:rStyle w:val="16"/>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color w:val="auto"/>
          <w:highlight w:val="none"/>
        </w:rPr>
        <w:t>支</w:t>
      </w:r>
      <w:r>
        <w:rPr>
          <w:rStyle w:val="16"/>
          <w:rFonts w:hint="default" w:ascii="Times New Roman" w:hAnsi="Times New Roman" w:eastAsia="仿宋" w:cs="Times New Roman"/>
          <w:b w:val="0"/>
          <w:bCs w:val="0"/>
          <w:color w:val="auto"/>
          <w:highlight w:val="none"/>
        </w:rPr>
        <w:t>出决算表</w:t>
      </w:r>
      <w:bookmarkEnd w:id="116"/>
      <w:bookmarkEnd w:id="117"/>
      <w:bookmarkEnd w:id="118"/>
    </w:p>
    <w:p>
      <w:pPr>
        <w:pStyle w:val="4"/>
        <w:spacing w:before="0" w:after="0" w:line="576" w:lineRule="exact"/>
        <w:rPr>
          <w:rFonts w:hint="default" w:ascii="Times New Roman" w:hAnsi="Times New Roman" w:eastAsia="仿宋" w:cs="Times New Roman"/>
          <w:b w:val="0"/>
          <w:color w:val="auto"/>
          <w:highlight w:val="none"/>
        </w:rPr>
      </w:pPr>
      <w:bookmarkStart w:id="119" w:name="_Toc15396622"/>
      <w:bookmarkStart w:id="120" w:name="_Toc22454"/>
      <w:bookmarkStart w:id="121" w:name="_Toc27046"/>
      <w:r>
        <w:rPr>
          <w:rStyle w:val="16"/>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color w:val="auto"/>
          <w:highlight w:val="none"/>
        </w:rPr>
        <w:t>财</w:t>
      </w:r>
      <w:r>
        <w:rPr>
          <w:rStyle w:val="16"/>
          <w:rFonts w:hint="default" w:ascii="Times New Roman" w:hAnsi="Times New Roman" w:eastAsia="仿宋" w:cs="Times New Roman"/>
          <w:b w:val="0"/>
          <w:bCs w:val="0"/>
          <w:color w:val="auto"/>
          <w:highlight w:val="none"/>
        </w:rPr>
        <w:t>政拨款收入支出决算总表</w:t>
      </w:r>
      <w:bookmarkEnd w:id="119"/>
      <w:bookmarkEnd w:id="120"/>
      <w:bookmarkEnd w:id="121"/>
    </w:p>
    <w:p>
      <w:pPr>
        <w:pStyle w:val="4"/>
        <w:spacing w:before="0" w:after="0" w:line="576" w:lineRule="exact"/>
        <w:rPr>
          <w:rStyle w:val="16"/>
          <w:rFonts w:hint="default" w:ascii="Times New Roman" w:hAnsi="Times New Roman" w:eastAsia="仿宋" w:cs="Times New Roman"/>
          <w:b w:val="0"/>
          <w:bCs w:val="0"/>
          <w:color w:val="auto"/>
          <w:highlight w:val="none"/>
        </w:rPr>
      </w:pPr>
      <w:bookmarkStart w:id="122" w:name="_Toc15396623"/>
      <w:bookmarkStart w:id="123" w:name="_Toc24517"/>
      <w:bookmarkStart w:id="124" w:name="_Toc20785"/>
      <w:r>
        <w:rPr>
          <w:rStyle w:val="16"/>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color w:val="auto"/>
          <w:highlight w:val="none"/>
        </w:rPr>
        <w:t>财</w:t>
      </w:r>
      <w:r>
        <w:rPr>
          <w:rStyle w:val="16"/>
          <w:rFonts w:hint="default" w:ascii="Times New Roman" w:hAnsi="Times New Roman" w:eastAsia="仿宋" w:cs="Times New Roman"/>
          <w:b w:val="0"/>
          <w:bCs w:val="0"/>
          <w:color w:val="auto"/>
          <w:highlight w:val="none"/>
        </w:rPr>
        <w:t>政拨款支出决算明细表</w:t>
      </w:r>
      <w:bookmarkEnd w:id="122"/>
      <w:bookmarkEnd w:id="123"/>
      <w:bookmarkEnd w:id="124"/>
      <w:bookmarkStart w:id="125" w:name="_Toc15396624"/>
    </w:p>
    <w:p>
      <w:pPr>
        <w:pStyle w:val="4"/>
        <w:spacing w:before="0" w:after="0" w:line="576" w:lineRule="exact"/>
        <w:rPr>
          <w:rFonts w:hint="default" w:ascii="Times New Roman" w:hAnsi="Times New Roman" w:eastAsia="仿宋" w:cs="Times New Roman"/>
          <w:color w:val="auto"/>
          <w:highlight w:val="none"/>
        </w:rPr>
      </w:pPr>
      <w:bookmarkStart w:id="126" w:name="_Toc3189"/>
      <w:bookmarkStart w:id="127" w:name="_Toc7607"/>
      <w:r>
        <w:rPr>
          <w:rStyle w:val="16"/>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color w:val="auto"/>
          <w:highlight w:val="none"/>
        </w:rPr>
        <w:t>一</w:t>
      </w:r>
      <w:r>
        <w:rPr>
          <w:rStyle w:val="16"/>
          <w:rFonts w:hint="default" w:ascii="Times New Roman" w:hAnsi="Times New Roman" w:eastAsia="仿宋" w:cs="Times New Roman"/>
          <w:b w:val="0"/>
          <w:bCs w:val="0"/>
          <w:color w:val="auto"/>
          <w:highlight w:val="none"/>
        </w:rPr>
        <w:t>般公共预算财政拨款支出决算表</w:t>
      </w:r>
      <w:bookmarkEnd w:id="125"/>
      <w:bookmarkEnd w:id="126"/>
      <w:bookmarkEnd w:id="127"/>
    </w:p>
    <w:p>
      <w:pPr>
        <w:pStyle w:val="4"/>
        <w:spacing w:before="0" w:after="0" w:line="576" w:lineRule="exact"/>
        <w:rPr>
          <w:rFonts w:hint="default" w:ascii="Times New Roman" w:hAnsi="Times New Roman" w:eastAsia="仿宋" w:cs="Times New Roman"/>
          <w:color w:val="auto"/>
          <w:highlight w:val="none"/>
        </w:rPr>
      </w:pPr>
      <w:bookmarkStart w:id="128" w:name="_Toc23611"/>
      <w:bookmarkStart w:id="129" w:name="_Toc15396625"/>
      <w:bookmarkStart w:id="130" w:name="_Toc26144"/>
      <w:r>
        <w:rPr>
          <w:rStyle w:val="16"/>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color w:val="auto"/>
          <w:highlight w:val="none"/>
        </w:rPr>
        <w:t>一</w:t>
      </w:r>
      <w:r>
        <w:rPr>
          <w:rStyle w:val="16"/>
          <w:rFonts w:hint="default" w:ascii="Times New Roman" w:hAnsi="Times New Roman" w:eastAsia="仿宋" w:cs="Times New Roman"/>
          <w:b w:val="0"/>
          <w:bCs w:val="0"/>
          <w:color w:val="auto"/>
          <w:highlight w:val="none"/>
        </w:rPr>
        <w:t>般公共预算财政拨款支出决算明细表</w:t>
      </w:r>
      <w:bookmarkEnd w:id="128"/>
      <w:bookmarkEnd w:id="129"/>
      <w:bookmarkEnd w:id="130"/>
    </w:p>
    <w:p>
      <w:pPr>
        <w:pStyle w:val="4"/>
        <w:spacing w:before="0" w:after="0" w:line="576" w:lineRule="exact"/>
        <w:rPr>
          <w:rFonts w:hint="default" w:ascii="Times New Roman" w:hAnsi="Times New Roman" w:eastAsia="仿宋" w:cs="Times New Roman"/>
          <w:color w:val="auto"/>
          <w:highlight w:val="none"/>
        </w:rPr>
      </w:pPr>
      <w:bookmarkStart w:id="131" w:name="_Toc15396626"/>
      <w:bookmarkStart w:id="132" w:name="_Toc15899"/>
      <w:bookmarkStart w:id="133" w:name="_Toc7334"/>
      <w:r>
        <w:rPr>
          <w:rStyle w:val="16"/>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color w:val="auto"/>
          <w:highlight w:val="none"/>
        </w:rPr>
        <w:t>一</w:t>
      </w:r>
      <w:r>
        <w:rPr>
          <w:rStyle w:val="16"/>
          <w:rFonts w:hint="default" w:ascii="Times New Roman" w:hAnsi="Times New Roman" w:eastAsia="仿宋" w:cs="Times New Roman"/>
          <w:b w:val="0"/>
          <w:bCs w:val="0"/>
          <w:color w:val="auto"/>
          <w:highlight w:val="none"/>
        </w:rPr>
        <w:t>般公共预算财政拨款基本支出决算表</w:t>
      </w:r>
      <w:bookmarkEnd w:id="131"/>
      <w:bookmarkEnd w:id="132"/>
      <w:bookmarkEnd w:id="133"/>
    </w:p>
    <w:p>
      <w:pPr>
        <w:pStyle w:val="4"/>
        <w:spacing w:before="0" w:after="0" w:line="576" w:lineRule="exact"/>
        <w:rPr>
          <w:rFonts w:hint="default" w:ascii="Times New Roman" w:hAnsi="Times New Roman" w:eastAsia="仿宋" w:cs="Times New Roman"/>
          <w:color w:val="auto"/>
          <w:highlight w:val="none"/>
        </w:rPr>
      </w:pPr>
      <w:bookmarkStart w:id="134" w:name="_Toc27863"/>
      <w:bookmarkStart w:id="135" w:name="_Toc15396627"/>
      <w:bookmarkStart w:id="136" w:name="_Toc15556"/>
      <w:r>
        <w:rPr>
          <w:rStyle w:val="16"/>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color w:val="auto"/>
          <w:highlight w:val="none"/>
        </w:rPr>
        <w:t>一</w:t>
      </w:r>
      <w:r>
        <w:rPr>
          <w:rStyle w:val="16"/>
          <w:rFonts w:hint="default" w:ascii="Times New Roman" w:hAnsi="Times New Roman" w:eastAsia="仿宋" w:cs="Times New Roman"/>
          <w:b w:val="0"/>
          <w:bCs w:val="0"/>
          <w:color w:val="auto"/>
          <w:highlight w:val="none"/>
        </w:rPr>
        <w:t>般公共预算财政拨款项目支出决算表</w:t>
      </w:r>
      <w:bookmarkEnd w:id="134"/>
      <w:bookmarkEnd w:id="135"/>
      <w:bookmarkEnd w:id="136"/>
    </w:p>
    <w:p>
      <w:pPr>
        <w:pStyle w:val="4"/>
        <w:spacing w:before="0" w:after="0" w:line="576" w:lineRule="exact"/>
        <w:rPr>
          <w:rFonts w:hint="default" w:ascii="Times New Roman" w:hAnsi="Times New Roman" w:eastAsia="仿宋" w:cs="Times New Roman"/>
          <w:color w:val="auto"/>
          <w:highlight w:val="none"/>
        </w:rPr>
      </w:pPr>
      <w:bookmarkStart w:id="137" w:name="_Toc19389"/>
      <w:bookmarkStart w:id="138" w:name="_Toc15396628"/>
      <w:bookmarkStart w:id="139" w:name="_Toc30859"/>
      <w:r>
        <w:rPr>
          <w:rStyle w:val="16"/>
          <w:rFonts w:hint="default" w:ascii="Times New Roman" w:hAnsi="Times New Roman" w:eastAsia="仿宋" w:cs="Times New Roman"/>
          <w:b w:val="0"/>
          <w:bCs w:val="0"/>
          <w:color w:val="auto"/>
          <w:highlight w:val="none"/>
        </w:rPr>
        <w:t>十、</w:t>
      </w:r>
      <w:r>
        <w:rPr>
          <w:rFonts w:hint="default" w:ascii="Times New Roman" w:hAnsi="Times New Roman" w:eastAsia="仿宋" w:cs="Times New Roman"/>
          <w:b w:val="0"/>
          <w:color w:val="auto"/>
          <w:highlight w:val="none"/>
        </w:rPr>
        <w:t>一</w:t>
      </w:r>
      <w:r>
        <w:rPr>
          <w:rStyle w:val="16"/>
          <w:rFonts w:hint="default" w:ascii="Times New Roman" w:hAnsi="Times New Roman" w:eastAsia="仿宋" w:cs="Times New Roman"/>
          <w:b w:val="0"/>
          <w:bCs w:val="0"/>
          <w:color w:val="auto"/>
          <w:highlight w:val="none"/>
        </w:rPr>
        <w:t>般公共预算财政拨款“三公”经费支出决算表</w:t>
      </w:r>
      <w:bookmarkEnd w:id="137"/>
      <w:bookmarkEnd w:id="138"/>
      <w:bookmarkEnd w:id="139"/>
    </w:p>
    <w:p>
      <w:pPr>
        <w:pStyle w:val="4"/>
        <w:spacing w:before="0" w:after="0" w:line="576" w:lineRule="exact"/>
        <w:rPr>
          <w:rFonts w:hint="default" w:ascii="Times New Roman" w:hAnsi="Times New Roman" w:eastAsia="仿宋" w:cs="Times New Roman"/>
          <w:color w:val="auto"/>
          <w:highlight w:val="none"/>
        </w:rPr>
      </w:pPr>
      <w:bookmarkStart w:id="140" w:name="_Toc15396629"/>
      <w:bookmarkStart w:id="141" w:name="_Toc29994"/>
      <w:bookmarkStart w:id="142" w:name="_Toc31557"/>
      <w:r>
        <w:rPr>
          <w:rStyle w:val="16"/>
          <w:rFonts w:hint="default" w:ascii="Times New Roman" w:hAnsi="Times New Roman" w:eastAsia="仿宋" w:cs="Times New Roman"/>
          <w:b w:val="0"/>
          <w:bCs w:val="0"/>
          <w:color w:val="auto"/>
          <w:highlight w:val="none"/>
        </w:rPr>
        <w:t>十一、</w:t>
      </w:r>
      <w:r>
        <w:rPr>
          <w:rFonts w:hint="default" w:ascii="Times New Roman" w:hAnsi="Times New Roman" w:eastAsia="仿宋" w:cs="Times New Roman"/>
          <w:b w:val="0"/>
          <w:color w:val="auto"/>
          <w:highlight w:val="none"/>
        </w:rPr>
        <w:t>政</w:t>
      </w:r>
      <w:r>
        <w:rPr>
          <w:rStyle w:val="16"/>
          <w:rFonts w:hint="default" w:ascii="Times New Roman" w:hAnsi="Times New Roman" w:eastAsia="仿宋" w:cs="Times New Roman"/>
          <w:b w:val="0"/>
          <w:bCs w:val="0"/>
          <w:color w:val="auto"/>
          <w:highlight w:val="none"/>
        </w:rPr>
        <w:t>府性基金预算财政拨款收入支出决算表</w:t>
      </w:r>
      <w:bookmarkEnd w:id="140"/>
      <w:bookmarkEnd w:id="141"/>
      <w:bookmarkEnd w:id="142"/>
    </w:p>
    <w:p>
      <w:pPr>
        <w:pStyle w:val="4"/>
        <w:spacing w:before="0" w:after="0" w:line="576" w:lineRule="exact"/>
        <w:rPr>
          <w:rFonts w:hint="default" w:ascii="Times New Roman" w:hAnsi="Times New Roman" w:eastAsia="仿宋" w:cs="Times New Roman"/>
          <w:color w:val="auto"/>
          <w:highlight w:val="none"/>
        </w:rPr>
      </w:pPr>
      <w:bookmarkStart w:id="143" w:name="_Toc20534"/>
      <w:bookmarkStart w:id="144" w:name="_Toc15396630"/>
      <w:bookmarkStart w:id="145" w:name="_Toc29078"/>
      <w:r>
        <w:rPr>
          <w:rStyle w:val="16"/>
          <w:rFonts w:hint="default" w:ascii="Times New Roman" w:hAnsi="Times New Roman" w:eastAsia="仿宋" w:cs="Times New Roman"/>
          <w:b w:val="0"/>
          <w:bCs w:val="0"/>
          <w:color w:val="auto"/>
          <w:highlight w:val="none"/>
        </w:rPr>
        <w:t>十二、</w:t>
      </w:r>
      <w:r>
        <w:rPr>
          <w:rFonts w:hint="default" w:ascii="Times New Roman" w:hAnsi="Times New Roman" w:eastAsia="仿宋" w:cs="Times New Roman"/>
          <w:b w:val="0"/>
          <w:color w:val="auto"/>
          <w:highlight w:val="none"/>
        </w:rPr>
        <w:t>政</w:t>
      </w:r>
      <w:r>
        <w:rPr>
          <w:rStyle w:val="16"/>
          <w:rFonts w:hint="default" w:ascii="Times New Roman" w:hAnsi="Times New Roman" w:eastAsia="仿宋" w:cs="Times New Roman"/>
          <w:b w:val="0"/>
          <w:bCs w:val="0"/>
          <w:color w:val="auto"/>
          <w:highlight w:val="none"/>
        </w:rPr>
        <w:t>府性基金预算财政拨款“三公”经费支出决算表</w:t>
      </w:r>
      <w:bookmarkEnd w:id="143"/>
      <w:bookmarkEnd w:id="144"/>
      <w:bookmarkEnd w:id="145"/>
    </w:p>
    <w:p>
      <w:pPr>
        <w:pStyle w:val="4"/>
        <w:spacing w:before="0" w:after="0" w:line="576" w:lineRule="exact"/>
        <w:rPr>
          <w:rStyle w:val="16"/>
          <w:rFonts w:hint="default" w:ascii="Times New Roman" w:hAnsi="Times New Roman" w:eastAsia="仿宋" w:cs="Times New Roman"/>
          <w:b w:val="0"/>
          <w:bCs w:val="0"/>
          <w:color w:val="auto"/>
          <w:highlight w:val="none"/>
        </w:rPr>
      </w:pPr>
      <w:bookmarkStart w:id="146" w:name="_Toc15396631"/>
      <w:bookmarkStart w:id="147" w:name="_Toc31751"/>
      <w:bookmarkStart w:id="148" w:name="_Toc28949"/>
      <w:r>
        <w:rPr>
          <w:rStyle w:val="16"/>
          <w:rFonts w:hint="default" w:ascii="Times New Roman" w:hAnsi="Times New Roman" w:eastAsia="仿宋" w:cs="Times New Roman"/>
          <w:b w:val="0"/>
          <w:bCs w:val="0"/>
          <w:color w:val="auto"/>
          <w:highlight w:val="none"/>
        </w:rPr>
        <w:t>十三、</w:t>
      </w:r>
      <w:r>
        <w:rPr>
          <w:rFonts w:hint="default" w:ascii="Times New Roman" w:hAnsi="Times New Roman" w:eastAsia="仿宋" w:cs="Times New Roman"/>
          <w:b w:val="0"/>
          <w:color w:val="auto"/>
          <w:highlight w:val="none"/>
        </w:rPr>
        <w:t>国</w:t>
      </w:r>
      <w:r>
        <w:rPr>
          <w:rStyle w:val="16"/>
          <w:rFonts w:hint="default" w:ascii="Times New Roman" w:hAnsi="Times New Roman" w:eastAsia="仿宋" w:cs="Times New Roman"/>
          <w:b w:val="0"/>
          <w:bCs w:val="0"/>
          <w:color w:val="auto"/>
          <w:highlight w:val="none"/>
        </w:rPr>
        <w:t>有资本经营预算</w:t>
      </w:r>
      <w:r>
        <w:rPr>
          <w:rStyle w:val="16"/>
          <w:rFonts w:hint="default" w:ascii="Times New Roman" w:hAnsi="Times New Roman" w:eastAsia="仿宋" w:cs="Times New Roman"/>
          <w:b w:val="0"/>
          <w:bCs w:val="0"/>
          <w:color w:val="auto"/>
          <w:highlight w:val="none"/>
          <w:lang w:eastAsia="zh-CN"/>
        </w:rPr>
        <w:t>财政拨款收入</w:t>
      </w:r>
      <w:r>
        <w:rPr>
          <w:rStyle w:val="16"/>
          <w:rFonts w:hint="default" w:ascii="Times New Roman" w:hAnsi="Times New Roman" w:eastAsia="仿宋" w:cs="Times New Roman"/>
          <w:b w:val="0"/>
          <w:bCs w:val="0"/>
          <w:color w:val="auto"/>
          <w:highlight w:val="none"/>
        </w:rPr>
        <w:t>支出决算表</w:t>
      </w:r>
      <w:bookmarkEnd w:id="146"/>
      <w:bookmarkEnd w:id="147"/>
      <w:bookmarkEnd w:id="148"/>
    </w:p>
    <w:p>
      <w:pPr>
        <w:spacing w:line="576" w:lineRule="exact"/>
        <w:rPr>
          <w:rFonts w:hint="default" w:ascii="Times New Roman" w:hAnsi="Times New Roman" w:eastAsia="仿宋" w:cs="Times New Roman"/>
          <w:color w:val="auto"/>
          <w:sz w:val="32"/>
          <w:szCs w:val="32"/>
          <w:highlight w:val="none"/>
          <w:lang w:eastAsia="zh-CN"/>
        </w:rPr>
      </w:pPr>
      <w:bookmarkStart w:id="149" w:name="_Toc14568"/>
      <w:bookmarkStart w:id="150" w:name="_Toc29037"/>
      <w:r>
        <w:rPr>
          <w:rStyle w:val="16"/>
          <w:rFonts w:hint="default" w:ascii="Times New Roman" w:hAnsi="Times New Roman" w:eastAsia="仿宋" w:cs="Times New Roman"/>
          <w:b w:val="0"/>
          <w:bCs w:val="0"/>
          <w:color w:val="auto"/>
          <w:highlight w:val="none"/>
          <w:lang w:eastAsia="zh-CN"/>
        </w:rPr>
        <w:t>十四、国有资本经营预算财政拨款支出决算表</w:t>
      </w:r>
      <w:bookmarkEnd w:id="149"/>
      <w:bookmarkEnd w:id="150"/>
    </w:p>
    <w:p>
      <w:pPr>
        <w:spacing w:line="576" w:lineRule="exact"/>
        <w:rPr>
          <w:rFonts w:hint="default" w:ascii="Times New Roman" w:hAnsi="Times New Roman" w:cs="Times New Roman"/>
          <w:sz w:val="32"/>
          <w:szCs w:val="32"/>
        </w:rPr>
      </w:pPr>
    </w:p>
    <w:bookmarkEnd w:id="151"/>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大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TA1ZTAyZGI3MjQ3ZTVjOTZkNzMyMzEzZGQxOTcifQ=="/>
  </w:docVars>
  <w:rsids>
    <w:rsidRoot w:val="5E0B4684"/>
    <w:rsid w:val="356D601D"/>
    <w:rsid w:val="4A217297"/>
    <w:rsid w:val="5E0B4684"/>
    <w:rsid w:val="760812FB"/>
    <w:rsid w:val="76A1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99"/>
    <w:rPr>
      <w:b/>
    </w:rPr>
  </w:style>
  <w:style w:type="character" w:styleId="14">
    <w:name w:val="page number"/>
    <w:basedOn w:val="12"/>
    <w:qFormat/>
    <w:uiPriority w:val="0"/>
  </w:style>
  <w:style w:type="character" w:customStyle="1" w:styleId="15">
    <w:name w:val="标题 1 Char"/>
    <w:basedOn w:val="12"/>
    <w:link w:val="3"/>
    <w:qFormat/>
    <w:uiPriority w:val="9"/>
    <w:rPr>
      <w:b/>
      <w:bCs/>
      <w:kern w:val="44"/>
      <w:sz w:val="44"/>
      <w:szCs w:val="44"/>
    </w:rPr>
  </w:style>
  <w:style w:type="character" w:customStyle="1" w:styleId="16">
    <w:name w:val="标题 2 Char"/>
    <w:basedOn w:val="12"/>
    <w:link w:val="4"/>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WPSOffice手动目录 1"/>
    <w:uiPriority w:val="0"/>
    <w:pPr>
      <w:ind w:leftChars="0"/>
    </w:pPr>
    <w:rPr>
      <w:sz w:val="20"/>
      <w:szCs w:val="20"/>
    </w:rPr>
  </w:style>
  <w:style w:type="paragraph" w:customStyle="1" w:styleId="19">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915;&#31639;\&#26426;&#31649;&#23616;&#20915;&#31639;&#34920;&#2668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915;&#31639;\&#26426;&#31649;&#23616;&#20915;&#31639;&#34920;&#2668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0915;&#31639;\&#26426;&#31649;&#23616;&#20915;&#31639;&#34920;&#2668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0915;&#31639;\&#26426;&#31649;&#23616;&#20915;&#31639;&#34920;&#26684;.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0915;&#31639;\&#26426;&#31649;&#23616;&#20915;&#31639;&#34920;&#2668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0915;&#31639;\&#26426;&#31649;&#23616;&#20915;&#31639;&#34920;&#26684;.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5919;&#24220;&#21150;\2021&#20915;&#31639;&#20844;&#24320;\&#20915;&#31639;&#29992;&#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收支总计</a:t>
            </a:r>
            <a:endParaRPr sz="1800" b="1"/>
          </a:p>
        </c:rich>
      </c:tx>
      <c:layout>
        <c:manualLayout>
          <c:xMode val="edge"/>
          <c:yMode val="edge"/>
          <c:x val="0.294044665012407"/>
          <c:y val="0.00973709834469328"/>
        </c:manualLayout>
      </c:layout>
      <c:overlay val="0"/>
      <c:spPr>
        <a:noFill/>
        <a:ln>
          <a:noFill/>
        </a:ln>
        <a:effectLst/>
      </c:spPr>
    </c:title>
    <c:autoTitleDeleted val="0"/>
    <c:plotArea>
      <c:layout>
        <c:manualLayout>
          <c:layoutTarget val="inner"/>
          <c:xMode val="edge"/>
          <c:yMode val="edge"/>
          <c:x val="0.0777222222222222"/>
          <c:y val="0.159027777777778"/>
          <c:w val="0.882"/>
          <c:h val="0.711666666666667"/>
        </c:manualLayout>
      </c:layout>
      <c:barChart>
        <c:barDir val="col"/>
        <c:grouping val="clustered"/>
        <c:varyColors val="0"/>
        <c:ser>
          <c:idx val="0"/>
          <c:order val="0"/>
          <c:spPr>
            <a:solidFill>
              <a:schemeClr val="accent1"/>
            </a:solidFill>
            <a:ln>
              <a:noFill/>
            </a:ln>
            <a:effectLst/>
          </c:spPr>
          <c:invertIfNegative val="0"/>
          <c:dLbls>
            <c:delete val="1"/>
          </c:dLbls>
          <c:cat>
            <c:strRef>
              <c:f>[机管局决算表格.xls]Sheet1!$A$1:$B$1</c:f>
              <c:strCache>
                <c:ptCount val="2"/>
                <c:pt idx="0">
                  <c:v>2021年收支总计</c:v>
                </c:pt>
                <c:pt idx="1">
                  <c:v>2020年收支总计</c:v>
                </c:pt>
              </c:strCache>
            </c:strRef>
          </c:cat>
          <c:val>
            <c:numRef>
              <c:f>[机管局决算表格.xls]Sheet1!$A$2:$B$2</c:f>
              <c:numCache>
                <c:formatCode>General</c:formatCode>
                <c:ptCount val="2"/>
                <c:pt idx="0">
                  <c:v>1338.56</c:v>
                </c:pt>
                <c:pt idx="1">
                  <c:v>1352.01</c:v>
                </c:pt>
              </c:numCache>
            </c:numRef>
          </c:val>
        </c:ser>
        <c:dLbls>
          <c:showLegendKey val="0"/>
          <c:showVal val="0"/>
          <c:showCatName val="0"/>
          <c:showSerName val="0"/>
          <c:showPercent val="0"/>
          <c:showBubbleSize val="0"/>
        </c:dLbls>
        <c:gapWidth val="219"/>
        <c:overlap val="-27"/>
        <c:axId val="349730781"/>
        <c:axId val="210424070"/>
      </c:barChart>
      <c:catAx>
        <c:axId val="3497307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0424070"/>
        <c:crosses val="autoZero"/>
        <c:auto val="1"/>
        <c:lblAlgn val="ctr"/>
        <c:lblOffset val="100"/>
        <c:noMultiLvlLbl val="0"/>
      </c:catAx>
      <c:valAx>
        <c:axId val="2104240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7307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spc="0" baseline="0">
                <a:solidFill>
                  <a:schemeClr val="tx1">
                    <a:lumMod val="65000"/>
                    <a:lumOff val="35000"/>
                  </a:schemeClr>
                </a:solidFill>
                <a:latin typeface="+mn-lt"/>
                <a:ea typeface="+mn-ea"/>
                <a:cs typeface="+mn-cs"/>
              </a:defRPr>
            </a:pPr>
            <a:r>
              <a:rPr sz="1800" b="1"/>
              <a:t>收入决算结构图</a:t>
            </a:r>
            <a:endParaRPr sz="1800"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[机管局决算表格.xls]收入决算!$A$1:$H$1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[机管局决算表格.xls]收入决算!$A$2:$H$2</c:f>
              <c:numCache>
                <c:formatCode>General</c:formatCode>
                <c:ptCount val="8"/>
                <c:pt idx="0">
                  <c:v>1338.56</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spc="0" baseline="0">
                <a:solidFill>
                  <a:schemeClr val="tx1">
                    <a:lumMod val="65000"/>
                    <a:lumOff val="35000"/>
                  </a:schemeClr>
                </a:solidFill>
                <a:latin typeface="+mn-lt"/>
                <a:ea typeface="+mn-ea"/>
                <a:cs typeface="+mn-cs"/>
              </a:defRPr>
            </a:pPr>
            <a:r>
              <a:rPr sz="1800" b="1"/>
              <a:t>支出决算结构图</a:t>
            </a:r>
            <a:endParaRPr sz="1800" b="1"/>
          </a:p>
        </c:rich>
      </c:tx>
      <c:layout>
        <c:manualLayout>
          <c:xMode val="edge"/>
          <c:yMode val="edge"/>
          <c:x val="0.283194444444444"/>
          <c:y val="0.0243055555555556"/>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68888888888889"/>
          <c:y val="0.230402777777778"/>
          <c:w val="0.826222222222222"/>
          <c:h val="0.56812962962963"/>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[机管局决算表格.xls]支出决算基本支出!$A$1:$E$1</c:f>
              <c:strCache>
                <c:ptCount val="5"/>
                <c:pt idx="0">
                  <c:v>基本支出</c:v>
                </c:pt>
                <c:pt idx="1">
                  <c:v>项目支出</c:v>
                </c:pt>
                <c:pt idx="2">
                  <c:v>上缴上级支出</c:v>
                </c:pt>
                <c:pt idx="3">
                  <c:v>经营支出</c:v>
                </c:pt>
                <c:pt idx="4">
                  <c:v>对附属单位补助支出</c:v>
                </c:pt>
              </c:strCache>
            </c:strRef>
          </c:cat>
          <c:val>
            <c:numRef>
              <c:f>[机管局决算表格.xls]支出决算基本支出!$A$2:$E$2</c:f>
              <c:numCache>
                <c:formatCode>General</c:formatCode>
                <c:ptCount val="5"/>
                <c:pt idx="0">
                  <c:v>1338.56</c:v>
                </c:pt>
                <c:pt idx="1">
                  <c:v>0</c:v>
                </c:pt>
                <c:pt idx="2">
                  <c:v>0</c:v>
                </c:pt>
                <c:pt idx="3">
                  <c:v>0</c:v>
                </c:pt>
                <c:pt idx="4">
                  <c:v>0</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b="1"/>
              <a:t>财政拨款收、支决算总计变动情况</a:t>
            </a:r>
            <a:endParaRPr sz="1200" b="1"/>
          </a:p>
        </c:rich>
      </c:tx>
      <c:layout/>
      <c:overlay val="0"/>
      <c:spPr>
        <a:noFill/>
        <a:ln>
          <a:noFill/>
        </a:ln>
        <a:effectLst/>
      </c:spPr>
    </c:title>
    <c:autoTitleDeleted val="0"/>
    <c:plotArea>
      <c:layout>
        <c:manualLayout>
          <c:layoutTarget val="inner"/>
          <c:xMode val="edge"/>
          <c:yMode val="edge"/>
          <c:x val="0.0895277777777778"/>
          <c:y val="0.198611111111111"/>
          <c:w val="0.882"/>
          <c:h val="0.68944444444444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[机管局决算表格.xls]收支2021年财政拨款收、支总计!$A$1:$B$1</c:f>
              <c:strCache>
                <c:ptCount val="2"/>
                <c:pt idx="0">
                  <c:v>2021年财政拨款收、支总计</c:v>
                </c:pt>
                <c:pt idx="1">
                  <c:v>2020年财政拨款收、支总计</c:v>
                </c:pt>
              </c:strCache>
            </c:strRef>
          </c:cat>
          <c:val>
            <c:numRef>
              <c:f>[机管局决算表格.xls]收支2021年财政拨款收、支总计!$A$2:$B$2</c:f>
              <c:numCache>
                <c:formatCode>General</c:formatCode>
                <c:ptCount val="2"/>
                <c:pt idx="0">
                  <c:v>1338.56</c:v>
                </c:pt>
                <c:pt idx="1">
                  <c:v>1352.01</c:v>
                </c:pt>
              </c:numCache>
            </c:numRef>
          </c:val>
        </c:ser>
        <c:dLbls>
          <c:showLegendKey val="0"/>
          <c:showVal val="1"/>
          <c:showCatName val="0"/>
          <c:showSerName val="0"/>
          <c:showPercent val="0"/>
          <c:showBubbleSize val="0"/>
        </c:dLbls>
        <c:gapWidth val="219"/>
        <c:overlap val="-27"/>
        <c:axId val="683920257"/>
        <c:axId val="363923214"/>
      </c:barChart>
      <c:catAx>
        <c:axId val="6839202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923214"/>
        <c:crosses val="autoZero"/>
        <c:auto val="1"/>
        <c:lblAlgn val="ctr"/>
        <c:lblOffset val="100"/>
        <c:noMultiLvlLbl val="0"/>
      </c:catAx>
      <c:valAx>
        <c:axId val="3639232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9202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r>
              <a:rPr sz="900" b="1"/>
              <a:t>一般公共预算财政拨款支出决算变动情况</a:t>
            </a:r>
            <a:endParaRPr sz="900" b="1"/>
          </a:p>
        </c:rich>
      </c:tx>
      <c:layout>
        <c:manualLayout>
          <c:xMode val="edge"/>
          <c:yMode val="edge"/>
          <c:x val="0.100711148295336"/>
          <c:y val="0.00974025974025974"/>
        </c:manualLayout>
      </c:layout>
      <c:overlay val="0"/>
      <c:spPr>
        <a:noFill/>
        <a:ln>
          <a:noFill/>
        </a:ln>
        <a:effectLst/>
      </c:spPr>
    </c:title>
    <c:autoTitleDeleted val="0"/>
    <c:plotArea>
      <c:layout>
        <c:manualLayout>
          <c:layoutTarget val="inner"/>
          <c:xMode val="edge"/>
          <c:yMode val="edge"/>
          <c:x val="0.0917377049180328"/>
          <c:y val="0.172944060619568"/>
          <c:w val="0.764"/>
          <c:h val="0.599509694673501"/>
        </c:manualLayout>
      </c:layout>
      <c:barChart>
        <c:barDir val="col"/>
        <c:grouping val="clustered"/>
        <c:varyColors val="0"/>
        <c:ser>
          <c:idx val="0"/>
          <c:order val="0"/>
          <c:spPr>
            <a:solidFill>
              <a:schemeClr val="accent1"/>
            </a:solidFill>
            <a:ln>
              <a:noFill/>
            </a:ln>
            <a:effectLst/>
          </c:spPr>
          <c:invertIfNegative val="0"/>
          <c:dLbls>
            <c:delete val="1"/>
          </c:dLbls>
          <c:cat>
            <c:strRef>
              <c:f>[机管局决算表格.xls]一般公共预算财政拨款支出决算变动情况!$A$1:$B$1</c:f>
              <c:strCache>
                <c:ptCount val="2"/>
                <c:pt idx="0">
                  <c:v>2021年一般公共预算财政拨款支出</c:v>
                </c:pt>
                <c:pt idx="1">
                  <c:v>2020年一般公共预算财政拨款支出</c:v>
                </c:pt>
              </c:strCache>
            </c:strRef>
          </c:cat>
          <c:val>
            <c:numRef>
              <c:f>[机管局决算表格.xls]一般公共预算财政拨款支出决算变动情况!$A$2:$B$2</c:f>
              <c:numCache>
                <c:formatCode>General</c:formatCode>
                <c:ptCount val="2"/>
                <c:pt idx="0">
                  <c:v>1338.56</c:v>
                </c:pt>
                <c:pt idx="1">
                  <c:v>1352.01</c:v>
                </c:pt>
              </c:numCache>
            </c:numRef>
          </c:val>
        </c:ser>
        <c:dLbls>
          <c:showLegendKey val="0"/>
          <c:showVal val="0"/>
          <c:showCatName val="0"/>
          <c:showSerName val="0"/>
          <c:showPercent val="0"/>
          <c:showBubbleSize val="0"/>
        </c:dLbls>
        <c:gapWidth val="219"/>
        <c:overlap val="-27"/>
        <c:axId val="789385244"/>
        <c:axId val="922349356"/>
      </c:barChart>
      <c:catAx>
        <c:axId val="7893852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50" b="0" i="0" u="none" strike="noStrike" kern="1200" baseline="0">
                <a:solidFill>
                  <a:schemeClr val="tx1">
                    <a:lumMod val="65000"/>
                    <a:lumOff val="35000"/>
                  </a:schemeClr>
                </a:solidFill>
                <a:latin typeface="+mn-lt"/>
                <a:ea typeface="+mn-ea"/>
                <a:cs typeface="+mn-cs"/>
              </a:defRPr>
            </a:pPr>
          </a:p>
        </c:txPr>
        <c:crossAx val="922349356"/>
        <c:crosses val="autoZero"/>
        <c:auto val="1"/>
        <c:lblAlgn val="ctr"/>
        <c:lblOffset val="100"/>
        <c:noMultiLvlLbl val="0"/>
      </c:catAx>
      <c:valAx>
        <c:axId val="9223493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3852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chemeClr val="tx1">
                    <a:lumMod val="65000"/>
                    <a:lumOff val="35000"/>
                  </a:schemeClr>
                </a:solidFill>
                <a:latin typeface="+mn-lt"/>
                <a:ea typeface="+mn-ea"/>
                <a:cs typeface="+mn-cs"/>
              </a:defRPr>
            </a:pPr>
            <a:r>
              <a:rPr sz="1200" b="1"/>
              <a:t>一般公共预算财政拨款支出决算结构</a:t>
            </a:r>
            <a:endParaRPr sz="1200"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326388888888889"/>
          <c:y val="0.172916666666667"/>
          <c:w val="0.938888888888889"/>
          <c:h val="0.604166666666667"/>
        </c:manualLayout>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[机管局决算表格.xls]一般公共预算财政拨款支出决算结构!$A$1:$D$1</c:f>
              <c:strCache>
                <c:ptCount val="4"/>
                <c:pt idx="0">
                  <c:v>一般公共服务（类）支出</c:v>
                </c:pt>
                <c:pt idx="1">
                  <c:v>社会保障和就业（类）支出</c:v>
                </c:pt>
                <c:pt idx="2">
                  <c:v>卫生健康支出</c:v>
                </c:pt>
                <c:pt idx="3">
                  <c:v>住房保障（类）支出</c:v>
                </c:pt>
              </c:strCache>
            </c:strRef>
          </c:cat>
          <c:val>
            <c:numRef>
              <c:f>[机管局决算表格.xls]一般公共预算财政拨款支出决算结构!$A$2:$D$2</c:f>
              <c:numCache>
                <c:formatCode>General</c:formatCode>
                <c:ptCount val="4"/>
                <c:pt idx="0">
                  <c:v>1263.32</c:v>
                </c:pt>
                <c:pt idx="1">
                  <c:v>30.13</c:v>
                </c:pt>
                <c:pt idx="2">
                  <c:v>14.83</c:v>
                </c:pt>
                <c:pt idx="3">
                  <c:v>30.28</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[决算用表.xls]Sheet6!$A$1:$C$1</c:f>
              <c:strCache>
                <c:ptCount val="3"/>
                <c:pt idx="0">
                  <c:v>因公出国（境）费支出</c:v>
                </c:pt>
                <c:pt idx="1">
                  <c:v>公务用车购置及运行维护费支出</c:v>
                </c:pt>
                <c:pt idx="2">
                  <c:v>公务接待费支出</c:v>
                </c:pt>
              </c:strCache>
            </c:strRef>
          </c:cat>
          <c:val>
            <c:numRef>
              <c:f>[决算用表.xls]Sheet6!$A$2:$C$2</c:f>
              <c:numCache>
                <c:formatCode>General</c:formatCode>
                <c:ptCount val="3"/>
                <c:pt idx="0">
                  <c:v>0</c:v>
                </c:pt>
                <c:pt idx="1">
                  <c:v>294.09</c:v>
                </c:pt>
                <c:pt idx="2">
                  <c:v>0.64</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7737</Words>
  <Characters>8420</Characters>
  <Lines>0</Lines>
  <Paragraphs>0</Paragraphs>
  <TotalTime>1</TotalTime>
  <ScaleCrop>false</ScaleCrop>
  <LinksUpToDate>false</LinksUpToDate>
  <CharactersWithSpaces>8520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克西</dc:creator>
  <cp:lastModifiedBy>Administrator</cp:lastModifiedBy>
  <dcterms:modified xsi:type="dcterms:W3CDTF">2022-09-29T01:27:39Z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F8017D3F911140C18F1BB346C58F83CE</vt:lpwstr>
  </property>
</Properties>
</file>