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A0C97">
      <w:pPr>
        <w:rPr>
          <w:rFonts w:ascii="仿宋_GB2312" w:eastAsia="仿宋_GB2312"/>
          <w:sz w:val="32"/>
          <w:szCs w:val="32"/>
        </w:rPr>
      </w:pPr>
    </w:p>
    <w:p w14:paraId="01C1912F">
      <w:pPr>
        <w:rPr>
          <w:rFonts w:ascii="仿宋_GB2312" w:eastAsia="仿宋_GB2312"/>
          <w:sz w:val="32"/>
          <w:szCs w:val="32"/>
        </w:rPr>
      </w:pPr>
    </w:p>
    <w:p w14:paraId="219D5E7B">
      <w:pPr>
        <w:rPr>
          <w:rFonts w:ascii="仿宋_GB2312" w:eastAsia="仿宋_GB2312"/>
          <w:sz w:val="32"/>
          <w:szCs w:val="32"/>
        </w:rPr>
      </w:pPr>
    </w:p>
    <w:p w14:paraId="7B2D3421">
      <w:pPr>
        <w:rPr>
          <w:rFonts w:ascii="仿宋_GB2312" w:eastAsia="仿宋_GB2312"/>
          <w:sz w:val="32"/>
          <w:szCs w:val="32"/>
        </w:rPr>
      </w:pPr>
    </w:p>
    <w:p w14:paraId="50349211">
      <w:pPr>
        <w:jc w:val="center"/>
        <w:rPr>
          <w:rFonts w:ascii="仿宋_GB2312" w:eastAsia="仿宋_GB2312"/>
          <w:b/>
          <w:sz w:val="52"/>
          <w:szCs w:val="52"/>
        </w:rPr>
      </w:pPr>
      <w:r>
        <w:rPr>
          <w:rFonts w:hint="eastAsia" w:ascii="仿宋_GB2312" w:eastAsia="仿宋_GB2312"/>
          <w:b/>
          <w:sz w:val="52"/>
          <w:szCs w:val="52"/>
        </w:rPr>
        <w:t>2018年度</w:t>
      </w:r>
    </w:p>
    <w:p w14:paraId="16FCA2FE">
      <w:pPr>
        <w:jc w:val="center"/>
        <w:rPr>
          <w:rFonts w:ascii="仿宋_GB2312" w:eastAsia="仿宋_GB2312"/>
          <w:b/>
          <w:sz w:val="52"/>
          <w:szCs w:val="52"/>
        </w:rPr>
      </w:pPr>
      <w:r>
        <w:rPr>
          <w:rFonts w:hint="eastAsia" w:ascii="仿宋_GB2312" w:eastAsia="仿宋_GB2312"/>
          <w:b/>
          <w:sz w:val="52"/>
          <w:szCs w:val="52"/>
        </w:rPr>
        <w:t>四川省广元市昭化区人民法院</w:t>
      </w:r>
    </w:p>
    <w:p w14:paraId="39F4FC74">
      <w:pPr>
        <w:jc w:val="center"/>
        <w:rPr>
          <w:rFonts w:ascii="仿宋_GB2312" w:eastAsia="仿宋_GB2312"/>
          <w:b/>
          <w:sz w:val="52"/>
          <w:szCs w:val="52"/>
        </w:rPr>
      </w:pPr>
      <w:r>
        <w:rPr>
          <w:rFonts w:hint="eastAsia" w:ascii="仿宋_GB2312" w:eastAsia="仿宋_GB2312"/>
          <w:b/>
          <w:sz w:val="52"/>
          <w:szCs w:val="52"/>
        </w:rPr>
        <w:t>部门决算</w:t>
      </w:r>
    </w:p>
    <w:p w14:paraId="0DFC648A">
      <w:pPr>
        <w:rPr>
          <w:rFonts w:ascii="仿宋_GB2312" w:eastAsia="仿宋_GB2312"/>
          <w:sz w:val="32"/>
          <w:szCs w:val="32"/>
        </w:rPr>
      </w:pPr>
      <w:r>
        <w:rPr>
          <w:rFonts w:hint="eastAsia" w:ascii="仿宋_GB2312" w:eastAsia="仿宋_GB2312"/>
          <w:sz w:val="32"/>
          <w:szCs w:val="32"/>
        </w:rPr>
        <w:t xml:space="preserve"> </w:t>
      </w:r>
    </w:p>
    <w:p w14:paraId="7FE00B07">
      <w:pPr>
        <w:widowControl/>
        <w:jc w:val="left"/>
        <w:rPr>
          <w:rFonts w:ascii="仿宋_GB2312" w:eastAsia="仿宋_GB2312"/>
          <w:sz w:val="32"/>
          <w:szCs w:val="32"/>
        </w:rPr>
      </w:pPr>
      <w:r>
        <w:rPr>
          <w:rFonts w:ascii="仿宋_GB2312" w:eastAsia="仿宋_GB2312"/>
          <w:sz w:val="32"/>
          <w:szCs w:val="32"/>
        </w:rPr>
        <w:br w:type="page"/>
      </w:r>
    </w:p>
    <w:p w14:paraId="24B0373F">
      <w:pPr>
        <w:jc w:val="center"/>
        <w:rPr>
          <w:rFonts w:ascii="仿宋_GB2312" w:eastAsia="仿宋_GB2312"/>
          <w:sz w:val="32"/>
          <w:szCs w:val="32"/>
        </w:rPr>
      </w:pPr>
      <w:r>
        <w:rPr>
          <w:rFonts w:hint="eastAsia" w:ascii="仿宋_GB2312" w:eastAsia="仿宋_GB2312"/>
          <w:sz w:val="32"/>
          <w:szCs w:val="32"/>
        </w:rPr>
        <w:t>目   录</w:t>
      </w:r>
    </w:p>
    <w:p w14:paraId="610582CF">
      <w:pPr>
        <w:rPr>
          <w:rFonts w:ascii="仿宋_GB2312" w:eastAsia="仿宋_GB2312"/>
          <w:sz w:val="32"/>
          <w:szCs w:val="32"/>
        </w:rPr>
      </w:pPr>
    </w:p>
    <w:p w14:paraId="492453B6">
      <w:pPr>
        <w:widowControl/>
        <w:jc w:val="center"/>
        <w:rPr>
          <w:rFonts w:ascii="黑体" w:hAnsi="黑体" w:eastAsia="黑体"/>
          <w:sz w:val="28"/>
          <w:szCs w:val="28"/>
        </w:rPr>
      </w:pPr>
    </w:p>
    <w:p w14:paraId="414D1430">
      <w:pPr>
        <w:pStyle w:val="8"/>
      </w:pPr>
      <w:r>
        <w:rPr>
          <w:rFonts w:hint="eastAsia"/>
        </w:rPr>
        <w:t>公开时间：2019年9月24日</w:t>
      </w:r>
    </w:p>
    <w:p w14:paraId="4E99CA3F"/>
    <w:p w14:paraId="2477ED5E">
      <w:pPr>
        <w:pStyle w:val="8"/>
        <w:rPr>
          <w:rFonts w:cstheme="minorBidi"/>
        </w:rPr>
      </w:pPr>
      <w:r>
        <w:fldChar w:fldCharType="begin"/>
      </w:r>
      <w:r>
        <w:instrText xml:space="preserve"> HYPERLINK \l "_Toc15396599" </w:instrText>
      </w:r>
      <w:r>
        <w:fldChar w:fldCharType="separate"/>
      </w:r>
      <w:r>
        <w:rPr>
          <w:rStyle w:val="13"/>
          <w:rFonts w:hint="eastAsia"/>
        </w:rPr>
        <w:t>第一部分</w:t>
      </w:r>
      <w:r>
        <w:rPr>
          <w:rStyle w:val="13"/>
        </w:rPr>
        <w:t xml:space="preserve"> </w:t>
      </w:r>
      <w:r>
        <w:rPr>
          <w:rStyle w:val="13"/>
          <w:rFonts w:hint="eastAsia"/>
        </w:rPr>
        <w:t>部门概况</w:t>
      </w:r>
      <w:r>
        <w:tab/>
      </w:r>
      <w:r>
        <w:rPr>
          <w:rFonts w:hint="eastAsia"/>
        </w:rPr>
        <w:t>4</w:t>
      </w:r>
      <w:r>
        <w:rPr>
          <w:rFonts w:hint="eastAsia"/>
        </w:rPr>
        <w:fldChar w:fldCharType="end"/>
      </w:r>
    </w:p>
    <w:p w14:paraId="7C83A3F0">
      <w:pPr>
        <w:pStyle w:val="9"/>
        <w:rPr>
          <w:rFonts w:ascii="仿宋" w:hAnsi="仿宋" w:eastAsia="仿宋" w:cstheme="minorBidi"/>
          <w:sz w:val="28"/>
          <w:szCs w:val="28"/>
        </w:rPr>
      </w:pPr>
      <w:r>
        <w:fldChar w:fldCharType="begin"/>
      </w:r>
      <w:r>
        <w:instrText xml:space="preserve"> HYPERLINK \l "_Toc15396600" </w:instrText>
      </w:r>
      <w:r>
        <w:fldChar w:fldCharType="separate"/>
      </w:r>
      <w:r>
        <w:rPr>
          <w:rStyle w:val="13"/>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14:paraId="0D88DB9D">
      <w:pPr>
        <w:pStyle w:val="9"/>
        <w:rPr>
          <w:rFonts w:ascii="仿宋" w:hAnsi="仿宋" w:eastAsia="仿宋" w:cstheme="minorBidi"/>
          <w:sz w:val="28"/>
          <w:szCs w:val="28"/>
        </w:rPr>
      </w:pPr>
      <w:r>
        <w:fldChar w:fldCharType="begin"/>
      </w:r>
      <w:r>
        <w:instrText xml:space="preserve"> HYPERLINK \l "_Toc15396601" </w:instrText>
      </w:r>
      <w:r>
        <w:fldChar w:fldCharType="separate"/>
      </w:r>
      <w:r>
        <w:rPr>
          <w:rStyle w:val="13"/>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rPr>
        <w:t>5</w:t>
      </w:r>
      <w:r>
        <w:rPr>
          <w:rFonts w:hint="eastAsia" w:ascii="仿宋" w:hAnsi="仿宋" w:eastAsia="仿宋"/>
          <w:sz w:val="28"/>
          <w:szCs w:val="28"/>
        </w:rPr>
        <w:fldChar w:fldCharType="end"/>
      </w:r>
    </w:p>
    <w:p w14:paraId="176D25C7">
      <w:pPr>
        <w:pStyle w:val="8"/>
      </w:pPr>
      <w:r>
        <w:fldChar w:fldCharType="begin"/>
      </w:r>
      <w:r>
        <w:instrText xml:space="preserve"> HYPERLINK \l "_Toc15396602" </w:instrText>
      </w:r>
      <w:r>
        <w:fldChar w:fldCharType="separate"/>
      </w:r>
      <w:r>
        <w:rPr>
          <w:rStyle w:val="13"/>
          <w:rFonts w:hint="eastAsia"/>
        </w:rPr>
        <w:t>第二部分</w:t>
      </w:r>
      <w:r>
        <w:rPr>
          <w:rStyle w:val="13"/>
        </w:rPr>
        <w:t xml:space="preserve"> 2018</w:t>
      </w:r>
      <w:r>
        <w:rPr>
          <w:rStyle w:val="13"/>
          <w:rFonts w:hint="eastAsia"/>
        </w:rPr>
        <w:t>年度部门决算情况说明</w:t>
      </w:r>
      <w:r>
        <w:tab/>
      </w:r>
      <w:r>
        <w:rPr>
          <w:rFonts w:hint="eastAsia"/>
        </w:rPr>
        <w:t>5</w:t>
      </w:r>
      <w:r>
        <w:rPr>
          <w:rFonts w:hint="eastAsia"/>
        </w:rPr>
        <w:fldChar w:fldCharType="end"/>
      </w:r>
    </w:p>
    <w:p w14:paraId="10073278">
      <w:pPr>
        <w:pStyle w:val="9"/>
        <w:rPr>
          <w:rFonts w:ascii="仿宋" w:hAnsi="仿宋" w:eastAsia="仿宋" w:cstheme="minorBidi"/>
          <w:sz w:val="28"/>
          <w:szCs w:val="28"/>
        </w:rPr>
      </w:pPr>
      <w:r>
        <w:fldChar w:fldCharType="begin"/>
      </w:r>
      <w:r>
        <w:instrText xml:space="preserve"> HYPERLINK \l "_Toc15396603" </w:instrText>
      </w:r>
      <w:r>
        <w:fldChar w:fldCharType="separate"/>
      </w:r>
      <w:r>
        <w:rPr>
          <w:rStyle w:val="13"/>
          <w:rFonts w:hint="eastAsia" w:ascii="仿宋" w:hAnsi="仿宋" w:eastAsia="仿宋" w:cstheme="majorBidi"/>
          <w:bCs/>
          <w:sz w:val="28"/>
          <w:szCs w:val="28"/>
        </w:rPr>
        <w:t>一、</w:t>
      </w:r>
      <w:r>
        <w:rPr>
          <w:rStyle w:val="13"/>
          <w:rFonts w:hint="eastAsia" w:ascii="仿宋" w:hAnsi="仿宋" w:eastAsia="仿宋"/>
          <w:sz w:val="28"/>
          <w:szCs w:val="28"/>
        </w:rPr>
        <w:t>收</w:t>
      </w:r>
      <w:r>
        <w:rPr>
          <w:rStyle w:val="13"/>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rPr>
        <w:t>6</w:t>
      </w:r>
      <w:r>
        <w:rPr>
          <w:rFonts w:hint="eastAsia" w:ascii="仿宋" w:hAnsi="仿宋" w:eastAsia="仿宋"/>
          <w:sz w:val="28"/>
          <w:szCs w:val="28"/>
        </w:rPr>
        <w:fldChar w:fldCharType="end"/>
      </w:r>
    </w:p>
    <w:p w14:paraId="583836BC">
      <w:pPr>
        <w:pStyle w:val="9"/>
        <w:rPr>
          <w:rFonts w:ascii="仿宋" w:hAnsi="仿宋" w:eastAsia="仿宋" w:cstheme="minorBidi"/>
          <w:sz w:val="28"/>
          <w:szCs w:val="28"/>
        </w:rPr>
      </w:pPr>
      <w:r>
        <w:fldChar w:fldCharType="begin"/>
      </w:r>
      <w:r>
        <w:instrText xml:space="preserve"> HYPERLINK \l "_Toc15396604" </w:instrText>
      </w:r>
      <w:r>
        <w:fldChar w:fldCharType="separate"/>
      </w:r>
      <w:r>
        <w:rPr>
          <w:rStyle w:val="13"/>
          <w:rFonts w:hint="eastAsia" w:ascii="仿宋" w:hAnsi="仿宋" w:eastAsia="仿宋" w:cstheme="majorBidi"/>
          <w:bCs/>
          <w:sz w:val="28"/>
          <w:szCs w:val="28"/>
        </w:rPr>
        <w:t>二、</w:t>
      </w:r>
      <w:r>
        <w:rPr>
          <w:rStyle w:val="13"/>
          <w:rFonts w:hint="eastAsia" w:ascii="仿宋" w:hAnsi="仿宋" w:eastAsia="仿宋"/>
          <w:sz w:val="28"/>
          <w:szCs w:val="28"/>
        </w:rPr>
        <w:t>收</w:t>
      </w:r>
      <w:r>
        <w:rPr>
          <w:rStyle w:val="13"/>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14:paraId="0FF424FC">
      <w:pPr>
        <w:pStyle w:val="9"/>
        <w:rPr>
          <w:rFonts w:ascii="仿宋" w:hAnsi="仿宋" w:eastAsia="仿宋" w:cstheme="minorBidi"/>
          <w:sz w:val="28"/>
          <w:szCs w:val="28"/>
        </w:rPr>
      </w:pPr>
      <w:r>
        <w:fldChar w:fldCharType="begin"/>
      </w:r>
      <w:r>
        <w:instrText xml:space="preserve"> HYPERLINK \l "_Toc15396605" </w:instrText>
      </w:r>
      <w:r>
        <w:fldChar w:fldCharType="separate"/>
      </w:r>
      <w:r>
        <w:rPr>
          <w:rStyle w:val="13"/>
          <w:rFonts w:hint="eastAsia" w:ascii="仿宋" w:hAnsi="仿宋" w:eastAsia="仿宋" w:cstheme="majorBidi"/>
          <w:bCs/>
          <w:sz w:val="28"/>
          <w:szCs w:val="28"/>
        </w:rPr>
        <w:t>三、</w:t>
      </w:r>
      <w:r>
        <w:rPr>
          <w:rStyle w:val="13"/>
          <w:rFonts w:hint="eastAsia" w:ascii="仿宋" w:hAnsi="仿宋" w:eastAsia="仿宋"/>
          <w:sz w:val="28"/>
          <w:szCs w:val="28"/>
        </w:rPr>
        <w:t>支</w:t>
      </w:r>
      <w:r>
        <w:rPr>
          <w:rStyle w:val="13"/>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14:paraId="2D3E1CAB">
      <w:pPr>
        <w:pStyle w:val="9"/>
        <w:rPr>
          <w:rFonts w:ascii="仿宋" w:hAnsi="仿宋" w:eastAsia="仿宋" w:cstheme="minorBidi"/>
          <w:sz w:val="28"/>
          <w:szCs w:val="28"/>
        </w:rPr>
      </w:pPr>
      <w:r>
        <w:fldChar w:fldCharType="begin"/>
      </w:r>
      <w:r>
        <w:instrText xml:space="preserve"> HYPERLINK \l "_Toc15396606" </w:instrText>
      </w:r>
      <w:r>
        <w:fldChar w:fldCharType="separate"/>
      </w:r>
      <w:r>
        <w:rPr>
          <w:rStyle w:val="13"/>
          <w:rFonts w:hint="eastAsia" w:ascii="仿宋" w:hAnsi="仿宋" w:eastAsia="仿宋"/>
          <w:sz w:val="28"/>
          <w:szCs w:val="28"/>
        </w:rPr>
        <w:t>四、财</w:t>
      </w:r>
      <w:r>
        <w:rPr>
          <w:rStyle w:val="13"/>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14:paraId="71E00E1E">
      <w:pPr>
        <w:pStyle w:val="9"/>
        <w:rPr>
          <w:rFonts w:ascii="仿宋" w:hAnsi="仿宋" w:eastAsia="仿宋" w:cstheme="minorBidi"/>
          <w:sz w:val="28"/>
          <w:szCs w:val="28"/>
        </w:rPr>
      </w:pPr>
      <w:r>
        <w:fldChar w:fldCharType="begin"/>
      </w:r>
      <w:r>
        <w:instrText xml:space="preserve"> HYPERLINK \l "_Toc15396607" </w:instrText>
      </w:r>
      <w:r>
        <w:fldChar w:fldCharType="separate"/>
      </w:r>
      <w:r>
        <w:rPr>
          <w:rStyle w:val="13"/>
          <w:rFonts w:hint="eastAsia" w:ascii="仿宋" w:hAnsi="仿宋" w:eastAsia="仿宋"/>
          <w:sz w:val="28"/>
          <w:szCs w:val="28"/>
        </w:rPr>
        <w:t>五、一</w:t>
      </w:r>
      <w:r>
        <w:rPr>
          <w:rStyle w:val="13"/>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14:paraId="400E844A">
      <w:pPr>
        <w:pStyle w:val="9"/>
        <w:rPr>
          <w:rFonts w:ascii="仿宋" w:hAnsi="仿宋" w:eastAsia="仿宋" w:cstheme="minorBidi"/>
          <w:sz w:val="28"/>
          <w:szCs w:val="28"/>
        </w:rPr>
      </w:pPr>
      <w:r>
        <w:fldChar w:fldCharType="begin"/>
      </w:r>
      <w:r>
        <w:instrText xml:space="preserve"> HYPERLINK \l "_Toc15396608" </w:instrText>
      </w:r>
      <w:r>
        <w:fldChar w:fldCharType="separate"/>
      </w:r>
      <w:r>
        <w:rPr>
          <w:rStyle w:val="13"/>
          <w:rFonts w:hint="eastAsia" w:ascii="仿宋" w:hAnsi="仿宋" w:eastAsia="仿宋"/>
          <w:sz w:val="28"/>
          <w:szCs w:val="28"/>
        </w:rPr>
        <w:t>六、一</w:t>
      </w:r>
      <w:r>
        <w:rPr>
          <w:rStyle w:val="13"/>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rPr>
        <w:t>10</w:t>
      </w:r>
      <w:r>
        <w:rPr>
          <w:rFonts w:hint="eastAsia" w:ascii="仿宋" w:hAnsi="仿宋" w:eastAsia="仿宋"/>
          <w:sz w:val="28"/>
          <w:szCs w:val="28"/>
        </w:rPr>
        <w:fldChar w:fldCharType="end"/>
      </w:r>
    </w:p>
    <w:p w14:paraId="6A1EA220">
      <w:pPr>
        <w:pStyle w:val="9"/>
        <w:rPr>
          <w:rFonts w:ascii="仿宋" w:hAnsi="仿宋" w:eastAsia="仿宋" w:cstheme="minorBidi"/>
          <w:sz w:val="28"/>
          <w:szCs w:val="28"/>
        </w:rPr>
      </w:pPr>
      <w:r>
        <w:fldChar w:fldCharType="begin"/>
      </w:r>
      <w:r>
        <w:instrText xml:space="preserve"> HYPERLINK \l "_Toc15396609" </w:instrText>
      </w:r>
      <w:r>
        <w:fldChar w:fldCharType="separate"/>
      </w:r>
      <w:r>
        <w:rPr>
          <w:rStyle w:val="13"/>
          <w:rFonts w:hint="eastAsia" w:ascii="仿宋" w:hAnsi="仿宋" w:eastAsia="仿宋"/>
          <w:sz w:val="28"/>
          <w:szCs w:val="28"/>
        </w:rPr>
        <w:t>七、</w:t>
      </w:r>
      <w:r>
        <w:rPr>
          <w:rStyle w:val="13"/>
          <w:rFonts w:ascii="仿宋" w:hAnsi="仿宋" w:eastAsia="仿宋"/>
          <w:sz w:val="28"/>
          <w:szCs w:val="28"/>
        </w:rPr>
        <w:t>“</w:t>
      </w:r>
      <w:r>
        <w:rPr>
          <w:rStyle w:val="13"/>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10</w:t>
      </w:r>
      <w:r>
        <w:rPr>
          <w:rFonts w:hint="eastAsia" w:ascii="仿宋" w:hAnsi="仿宋" w:eastAsia="仿宋"/>
          <w:sz w:val="28"/>
          <w:szCs w:val="28"/>
        </w:rPr>
        <w:fldChar w:fldCharType="end"/>
      </w:r>
    </w:p>
    <w:p w14:paraId="577959EE">
      <w:pPr>
        <w:pStyle w:val="9"/>
        <w:rPr>
          <w:rFonts w:ascii="仿宋" w:hAnsi="仿宋" w:eastAsia="仿宋" w:cstheme="minorBidi"/>
          <w:sz w:val="28"/>
          <w:szCs w:val="28"/>
        </w:rPr>
      </w:pPr>
      <w:r>
        <w:fldChar w:fldCharType="begin"/>
      </w:r>
      <w:r>
        <w:instrText xml:space="preserve"> HYPERLINK \l "_Toc15396610" </w:instrText>
      </w:r>
      <w:r>
        <w:fldChar w:fldCharType="separate"/>
      </w:r>
      <w:r>
        <w:rPr>
          <w:rStyle w:val="13"/>
          <w:rFonts w:hint="eastAsia" w:ascii="仿宋" w:hAnsi="仿宋" w:eastAsia="仿宋"/>
          <w:sz w:val="28"/>
          <w:szCs w:val="28"/>
        </w:rPr>
        <w:t>八、</w:t>
      </w:r>
      <w:r>
        <w:rPr>
          <w:rStyle w:val="13"/>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rPr>
        <w:t>10</w:t>
      </w:r>
      <w:r>
        <w:rPr>
          <w:rFonts w:hint="eastAsia" w:ascii="仿宋" w:hAnsi="仿宋" w:eastAsia="仿宋"/>
          <w:sz w:val="28"/>
          <w:szCs w:val="28"/>
        </w:rPr>
        <w:fldChar w:fldCharType="end"/>
      </w:r>
    </w:p>
    <w:p w14:paraId="4AFB023B">
      <w:pPr>
        <w:pStyle w:val="9"/>
      </w:pPr>
      <w:r>
        <w:fldChar w:fldCharType="begin"/>
      </w:r>
      <w:r>
        <w:instrText xml:space="preserve"> HYPERLINK \l "_Toc15396611" </w:instrText>
      </w:r>
      <w:r>
        <w:fldChar w:fldCharType="separate"/>
      </w:r>
      <w:r>
        <w:rPr>
          <w:rStyle w:val="13"/>
          <w:rFonts w:hint="eastAsia" w:ascii="仿宋" w:hAnsi="仿宋" w:eastAsia="仿宋" w:cstheme="majorBidi"/>
          <w:bCs/>
          <w:sz w:val="28"/>
          <w:szCs w:val="28"/>
        </w:rPr>
        <w:t>九、</w:t>
      </w:r>
      <w:r>
        <w:rPr>
          <w:rStyle w:val="13"/>
          <w:rFonts w:hint="eastAsia" w:ascii="仿宋" w:hAnsi="仿宋" w:eastAsia="仿宋"/>
          <w:sz w:val="28"/>
          <w:szCs w:val="28"/>
        </w:rPr>
        <w:t xml:space="preserve"> 国</w:t>
      </w:r>
      <w:r>
        <w:rPr>
          <w:rStyle w:val="13"/>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rPr>
        <w:t>10</w:t>
      </w:r>
      <w:r>
        <w:rPr>
          <w:rFonts w:hint="eastAsia" w:ascii="仿宋" w:hAnsi="仿宋" w:eastAsia="仿宋"/>
          <w:sz w:val="28"/>
          <w:szCs w:val="28"/>
        </w:rPr>
        <w:fldChar w:fldCharType="end"/>
      </w:r>
    </w:p>
    <w:p w14:paraId="560EA483">
      <w:pPr>
        <w:pStyle w:val="9"/>
        <w:rPr>
          <w:rFonts w:ascii="仿宋" w:hAnsi="仿宋" w:eastAsia="仿宋" w:cstheme="minorBidi"/>
          <w:sz w:val="28"/>
          <w:szCs w:val="28"/>
        </w:rPr>
      </w:pPr>
      <w:r>
        <w:fldChar w:fldCharType="begin"/>
      </w:r>
      <w:r>
        <w:instrText xml:space="preserve"> HYPERLINK \l "_Toc15396612" </w:instrText>
      </w:r>
      <w:r>
        <w:fldChar w:fldCharType="separate"/>
      </w:r>
      <w:r>
        <w:rPr>
          <w:rStyle w:val="13"/>
          <w:rFonts w:hint="eastAsia" w:ascii="仿宋" w:hAnsi="仿宋" w:eastAsia="仿宋"/>
          <w:sz w:val="28"/>
          <w:szCs w:val="28"/>
        </w:rPr>
        <w:t>十</w:t>
      </w:r>
      <w:r>
        <w:rPr>
          <w:rStyle w:val="13"/>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rPr>
        <w:t>10</w:t>
      </w:r>
      <w:r>
        <w:rPr>
          <w:rFonts w:hint="eastAsia" w:ascii="仿宋" w:hAnsi="仿宋" w:eastAsia="仿宋"/>
          <w:sz w:val="28"/>
          <w:szCs w:val="28"/>
        </w:rPr>
        <w:fldChar w:fldCharType="end"/>
      </w:r>
    </w:p>
    <w:p w14:paraId="5573081E">
      <w:pPr>
        <w:pStyle w:val="8"/>
        <w:rPr>
          <w:rFonts w:cstheme="minorBidi"/>
        </w:rPr>
      </w:pPr>
      <w:r>
        <w:fldChar w:fldCharType="begin"/>
      </w:r>
      <w:r>
        <w:instrText xml:space="preserve"> HYPERLINK \l "_Toc15396613" </w:instrText>
      </w:r>
      <w:r>
        <w:fldChar w:fldCharType="separate"/>
      </w:r>
      <w:r>
        <w:rPr>
          <w:rStyle w:val="13"/>
          <w:rFonts w:hint="eastAsia"/>
          <w:bCs/>
          <w:kern w:val="44"/>
        </w:rPr>
        <w:t>第三部分</w:t>
      </w:r>
      <w:r>
        <w:rPr>
          <w:rStyle w:val="13"/>
          <w:rFonts w:hint="eastAsia"/>
        </w:rPr>
        <w:t xml:space="preserve"> 名</w:t>
      </w:r>
      <w:r>
        <w:rPr>
          <w:rStyle w:val="13"/>
          <w:rFonts w:hint="eastAsia"/>
          <w:bCs/>
          <w:kern w:val="44"/>
        </w:rPr>
        <w:t>词解释</w:t>
      </w:r>
      <w:r>
        <w:tab/>
      </w:r>
      <w:r>
        <w:rPr>
          <w:rFonts w:hint="eastAsia"/>
        </w:rPr>
        <w:t>10</w:t>
      </w:r>
      <w:r>
        <w:rPr>
          <w:rFonts w:hint="eastAsia"/>
        </w:rPr>
        <w:fldChar w:fldCharType="end"/>
      </w:r>
    </w:p>
    <w:p w14:paraId="5B6B165F">
      <w:pPr>
        <w:pStyle w:val="8"/>
        <w:rPr>
          <w:rFonts w:cstheme="minorBidi"/>
        </w:rPr>
      </w:pPr>
      <w:r>
        <w:fldChar w:fldCharType="begin"/>
      </w:r>
      <w:r>
        <w:instrText xml:space="preserve"> HYPERLINK \l "_Toc15396614" </w:instrText>
      </w:r>
      <w:r>
        <w:fldChar w:fldCharType="separate"/>
      </w:r>
      <w:r>
        <w:rPr>
          <w:rStyle w:val="13"/>
          <w:rFonts w:hint="eastAsia"/>
        </w:rPr>
        <w:t>第</w:t>
      </w:r>
      <w:r>
        <w:rPr>
          <w:rStyle w:val="13"/>
          <w:rFonts w:hint="eastAsia"/>
          <w:bCs/>
          <w:kern w:val="44"/>
        </w:rPr>
        <w:t>四部分</w:t>
      </w:r>
      <w:r>
        <w:rPr>
          <w:rStyle w:val="13"/>
          <w:bCs/>
          <w:kern w:val="44"/>
        </w:rPr>
        <w:t xml:space="preserve"> </w:t>
      </w:r>
      <w:r>
        <w:rPr>
          <w:rStyle w:val="13"/>
          <w:rFonts w:hint="eastAsia"/>
          <w:bCs/>
          <w:kern w:val="44"/>
        </w:rPr>
        <w:t>附件</w:t>
      </w:r>
      <w:r>
        <w:tab/>
      </w:r>
      <w:r>
        <w:rPr>
          <w:rFonts w:hint="eastAsia"/>
        </w:rPr>
        <w:t>10</w:t>
      </w:r>
      <w:r>
        <w:rPr>
          <w:rFonts w:hint="eastAsia"/>
        </w:rPr>
        <w:fldChar w:fldCharType="end"/>
      </w:r>
    </w:p>
    <w:p w14:paraId="44C65FD2">
      <w:pPr>
        <w:pStyle w:val="9"/>
        <w:rPr>
          <w:rFonts w:ascii="仿宋" w:hAnsi="仿宋" w:eastAsia="仿宋" w:cstheme="minorBidi"/>
          <w:sz w:val="28"/>
          <w:szCs w:val="28"/>
        </w:rPr>
      </w:pPr>
      <w:r>
        <w:fldChar w:fldCharType="begin"/>
      </w:r>
      <w:r>
        <w:instrText xml:space="preserve"> HYPERLINK \l "_Toc15396615" </w:instrText>
      </w:r>
      <w:r>
        <w:fldChar w:fldCharType="separate"/>
      </w:r>
      <w:r>
        <w:rPr>
          <w:rStyle w:val="13"/>
          <w:rFonts w:hint="eastAsia" w:ascii="仿宋" w:hAnsi="仿宋" w:eastAsia="仿宋"/>
          <w:kern w:val="44"/>
          <w:sz w:val="28"/>
          <w:szCs w:val="28"/>
        </w:rPr>
        <w:t>附件</w:t>
      </w:r>
      <w:r>
        <w:rPr>
          <w:rStyle w:val="13"/>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rPr>
        <w:t>10</w:t>
      </w:r>
      <w:r>
        <w:rPr>
          <w:rFonts w:hint="eastAsia" w:ascii="仿宋" w:hAnsi="仿宋" w:eastAsia="仿宋"/>
          <w:sz w:val="28"/>
          <w:szCs w:val="28"/>
        </w:rPr>
        <w:fldChar w:fldCharType="end"/>
      </w:r>
    </w:p>
    <w:p w14:paraId="6CBDEC69">
      <w:pPr>
        <w:pStyle w:val="9"/>
        <w:rPr>
          <w:rFonts w:ascii="仿宋" w:hAnsi="仿宋" w:eastAsia="仿宋" w:cstheme="minorBidi"/>
          <w:b/>
          <w:sz w:val="28"/>
          <w:szCs w:val="28"/>
        </w:rPr>
      </w:pPr>
      <w:r>
        <w:fldChar w:fldCharType="begin"/>
      </w:r>
      <w:r>
        <w:instrText xml:space="preserve"> HYPERLINK \l "_Toc15396617" </w:instrText>
      </w:r>
      <w:r>
        <w:fldChar w:fldCharType="separate"/>
      </w:r>
      <w:r>
        <w:rPr>
          <w:rStyle w:val="13"/>
          <w:rFonts w:hint="eastAsia" w:ascii="仿宋" w:hAnsi="仿宋" w:eastAsia="仿宋"/>
          <w:b/>
          <w:kern w:val="44"/>
          <w:sz w:val="28"/>
          <w:szCs w:val="28"/>
        </w:rPr>
        <w:t>附件</w:t>
      </w:r>
      <w:r>
        <w:rPr>
          <w:rStyle w:val="13"/>
          <w:rFonts w:ascii="仿宋" w:hAnsi="仿宋" w:eastAsia="仿宋"/>
          <w:b/>
          <w:kern w:val="44"/>
          <w:sz w:val="28"/>
          <w:szCs w:val="28"/>
        </w:rPr>
        <w:t>2</w:t>
      </w:r>
      <w:r>
        <w:rPr>
          <w:rFonts w:ascii="仿宋" w:hAnsi="仿宋" w:eastAsia="仿宋"/>
          <w:b/>
          <w:sz w:val="28"/>
          <w:szCs w:val="28"/>
        </w:rPr>
        <w:tab/>
      </w:r>
      <w:r>
        <w:rPr>
          <w:rFonts w:hint="eastAsia" w:ascii="仿宋" w:hAnsi="仿宋" w:eastAsia="仿宋"/>
          <w:b/>
          <w:sz w:val="28"/>
          <w:szCs w:val="28"/>
        </w:rPr>
        <w:t>10</w:t>
      </w:r>
      <w:r>
        <w:rPr>
          <w:rFonts w:hint="eastAsia" w:ascii="仿宋" w:hAnsi="仿宋" w:eastAsia="仿宋"/>
          <w:b/>
          <w:sz w:val="28"/>
          <w:szCs w:val="28"/>
        </w:rPr>
        <w:fldChar w:fldCharType="end"/>
      </w:r>
    </w:p>
    <w:p w14:paraId="53C38A9A">
      <w:pPr>
        <w:pStyle w:val="8"/>
        <w:rPr>
          <w:rFonts w:cstheme="minorBidi"/>
        </w:rPr>
      </w:pPr>
      <w:r>
        <w:fldChar w:fldCharType="begin"/>
      </w:r>
      <w:r>
        <w:instrText xml:space="preserve"> HYPERLINK \l "_Toc15396618" </w:instrText>
      </w:r>
      <w:r>
        <w:fldChar w:fldCharType="separate"/>
      </w:r>
      <w:r>
        <w:rPr>
          <w:rStyle w:val="13"/>
          <w:rFonts w:hint="eastAsia"/>
          <w:b/>
        </w:rPr>
        <w:t>第</w:t>
      </w:r>
      <w:r>
        <w:rPr>
          <w:rStyle w:val="13"/>
          <w:rFonts w:hint="eastAsia"/>
          <w:b/>
          <w:bCs/>
          <w:kern w:val="44"/>
        </w:rPr>
        <w:t>五部分</w:t>
      </w:r>
      <w:r>
        <w:rPr>
          <w:rStyle w:val="13"/>
          <w:b/>
          <w:bCs/>
          <w:kern w:val="44"/>
        </w:rPr>
        <w:t xml:space="preserve"> </w:t>
      </w:r>
      <w:r>
        <w:rPr>
          <w:rStyle w:val="13"/>
          <w:rFonts w:hint="eastAsia"/>
          <w:b/>
          <w:bCs/>
          <w:kern w:val="44"/>
        </w:rPr>
        <w:t>附表</w:t>
      </w:r>
      <w:r>
        <w:rPr>
          <w:b/>
        </w:rPr>
        <w:tab/>
      </w:r>
      <w:r>
        <w:rPr>
          <w:rFonts w:hint="eastAsia"/>
          <w:b/>
        </w:rPr>
        <w:t>10</w:t>
      </w:r>
      <w:r>
        <w:rPr>
          <w:rFonts w:hint="eastAsia"/>
          <w:b/>
        </w:rPr>
        <w:fldChar w:fldCharType="end"/>
      </w:r>
    </w:p>
    <w:p w14:paraId="1A581B7E">
      <w:pPr>
        <w:pStyle w:val="9"/>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3"/>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hint="eastAsia" w:ascii="仿宋" w:hAnsi="仿宋" w:eastAsia="仿宋"/>
          <w:b/>
          <w:bCs/>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40D8236F">
      <w:pPr>
        <w:pStyle w:val="9"/>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3"/>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rPr>
        <w:t>10</w:t>
      </w:r>
      <w:r>
        <w:rPr>
          <w:rFonts w:hint="eastAsia" w:ascii="仿宋" w:hAnsi="仿宋" w:eastAsia="仿宋"/>
          <w:sz w:val="28"/>
          <w:szCs w:val="28"/>
        </w:rPr>
        <w:fldChar w:fldCharType="end"/>
      </w:r>
    </w:p>
    <w:p w14:paraId="7A0320ED">
      <w:pPr>
        <w:pStyle w:val="9"/>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3"/>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rPr>
        <w:t>10</w:t>
      </w:r>
      <w:r>
        <w:rPr>
          <w:rFonts w:hint="eastAsia" w:ascii="仿宋" w:hAnsi="仿宋" w:eastAsia="仿宋"/>
          <w:sz w:val="28"/>
          <w:szCs w:val="28"/>
        </w:rPr>
        <w:fldChar w:fldCharType="end"/>
      </w:r>
    </w:p>
    <w:p w14:paraId="2FFFD32E">
      <w:pPr>
        <w:pStyle w:val="9"/>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3"/>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rPr>
        <w:t>10</w:t>
      </w:r>
      <w:r>
        <w:rPr>
          <w:rFonts w:hint="eastAsia" w:ascii="仿宋" w:hAnsi="仿宋" w:eastAsia="仿宋"/>
          <w:sz w:val="28"/>
          <w:szCs w:val="28"/>
        </w:rPr>
        <w:fldChar w:fldCharType="end"/>
      </w:r>
    </w:p>
    <w:p w14:paraId="5C3A7207">
      <w:pPr>
        <w:pStyle w:val="9"/>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11</w:t>
      </w:r>
      <w:r>
        <w:rPr>
          <w:rFonts w:hint="eastAsia" w:ascii="仿宋" w:hAnsi="仿宋" w:eastAsia="仿宋"/>
          <w:sz w:val="28"/>
          <w:szCs w:val="28"/>
        </w:rPr>
        <w:fldChar w:fldCharType="end"/>
      </w:r>
    </w:p>
    <w:p w14:paraId="2E2C08AF">
      <w:pPr>
        <w:pStyle w:val="9"/>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3"/>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12</w:t>
      </w:r>
      <w:r>
        <w:rPr>
          <w:rFonts w:hint="eastAsia" w:ascii="仿宋" w:hAnsi="仿宋" w:eastAsia="仿宋"/>
          <w:sz w:val="28"/>
          <w:szCs w:val="28"/>
        </w:rPr>
        <w:fldChar w:fldCharType="end"/>
      </w:r>
    </w:p>
    <w:p w14:paraId="752A2B19">
      <w:pPr>
        <w:pStyle w:val="9"/>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3"/>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12</w:t>
      </w:r>
      <w:r>
        <w:rPr>
          <w:rFonts w:hint="eastAsia" w:ascii="仿宋" w:hAnsi="仿宋" w:eastAsia="仿宋"/>
          <w:sz w:val="28"/>
          <w:szCs w:val="28"/>
        </w:rPr>
        <w:fldChar w:fldCharType="end"/>
      </w:r>
    </w:p>
    <w:p w14:paraId="4CF7FAF5">
      <w:pPr>
        <w:pStyle w:val="9"/>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3"/>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12</w:t>
      </w:r>
      <w:r>
        <w:rPr>
          <w:rFonts w:hint="eastAsia" w:ascii="仿宋" w:hAnsi="仿宋" w:eastAsia="仿宋"/>
          <w:sz w:val="28"/>
          <w:szCs w:val="28"/>
        </w:rPr>
        <w:fldChar w:fldCharType="end"/>
      </w:r>
    </w:p>
    <w:p w14:paraId="648164DC">
      <w:pPr>
        <w:pStyle w:val="9"/>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3"/>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12</w:t>
      </w:r>
      <w:r>
        <w:rPr>
          <w:rFonts w:hint="eastAsia" w:ascii="仿宋" w:hAnsi="仿宋" w:eastAsia="仿宋"/>
          <w:sz w:val="28"/>
          <w:szCs w:val="28"/>
        </w:rPr>
        <w:fldChar w:fldCharType="end"/>
      </w:r>
    </w:p>
    <w:p w14:paraId="40E12157">
      <w:pPr>
        <w:pStyle w:val="9"/>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3"/>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13</w:t>
      </w:r>
      <w:r>
        <w:rPr>
          <w:rFonts w:hint="eastAsia" w:ascii="仿宋" w:hAnsi="仿宋" w:eastAsia="仿宋"/>
          <w:sz w:val="28"/>
          <w:szCs w:val="28"/>
        </w:rPr>
        <w:fldChar w:fldCharType="end"/>
      </w:r>
    </w:p>
    <w:p w14:paraId="7EC6C1CD">
      <w:pPr>
        <w:pStyle w:val="9"/>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3"/>
          <w:rFonts w:hint="eastAsia" w:ascii="仿宋" w:hAnsi="仿宋" w:eastAsia="仿宋"/>
          <w:sz w:val="28"/>
          <w:szCs w:val="28"/>
        </w:rPr>
        <w:t>政府性基金预算财政拨款收入支出决算表</w:t>
      </w:r>
      <w:r>
        <w:rPr>
          <w:rStyle w:val="13"/>
          <w:rFonts w:ascii="仿宋" w:hAnsi="仿宋" w:eastAsia="仿宋"/>
          <w:sz w:val="28"/>
          <w:szCs w:val="28"/>
        </w:rPr>
        <w:tab/>
      </w:r>
      <w:r>
        <w:rPr>
          <w:rFonts w:hint="eastAsia" w:ascii="仿宋" w:hAnsi="仿宋" w:eastAsia="仿宋"/>
          <w:sz w:val="28"/>
          <w:szCs w:val="28"/>
        </w:rPr>
        <w:t>22</w:t>
      </w:r>
      <w:r>
        <w:rPr>
          <w:rFonts w:hint="eastAsia" w:ascii="仿宋" w:hAnsi="仿宋" w:eastAsia="仿宋"/>
          <w:sz w:val="28"/>
          <w:szCs w:val="28"/>
        </w:rPr>
        <w:fldChar w:fldCharType="end"/>
      </w:r>
    </w:p>
    <w:p w14:paraId="36A2EFB2">
      <w:pPr>
        <w:pStyle w:val="9"/>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3"/>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2</w:t>
      </w:r>
    </w:p>
    <w:p w14:paraId="03B72519">
      <w:pPr>
        <w:rPr>
          <w:rFonts w:ascii="仿宋_GB2312" w:eastAsia="仿宋_GB2312"/>
          <w:sz w:val="32"/>
          <w:szCs w:val="32"/>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3"/>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end"/>
      </w:r>
      <w:r>
        <w:rPr>
          <w:rFonts w:ascii="仿宋" w:hAnsi="仿宋" w:eastAsia="仿宋"/>
          <w:sz w:val="28"/>
          <w:szCs w:val="28"/>
        </w:rPr>
        <w:t>………………………………</w:t>
      </w:r>
      <w:r>
        <w:rPr>
          <w:rFonts w:hint="eastAsia" w:ascii="仿宋" w:hAnsi="仿宋" w:eastAsia="仿宋"/>
          <w:sz w:val="28"/>
          <w:szCs w:val="28"/>
        </w:rPr>
        <w:t>22</w:t>
      </w:r>
    </w:p>
    <w:p w14:paraId="0B9A1367">
      <w:pPr>
        <w:widowControl/>
        <w:jc w:val="left"/>
        <w:rPr>
          <w:rFonts w:ascii="仿宋_GB2312" w:eastAsia="仿宋_GB2312"/>
          <w:sz w:val="32"/>
          <w:szCs w:val="32"/>
        </w:rPr>
      </w:pPr>
      <w:r>
        <w:rPr>
          <w:rFonts w:ascii="仿宋_GB2312" w:eastAsia="仿宋_GB2312"/>
          <w:sz w:val="32"/>
          <w:szCs w:val="32"/>
        </w:rPr>
        <w:br w:type="page"/>
      </w:r>
    </w:p>
    <w:p w14:paraId="564FF9E2">
      <w:pPr>
        <w:jc w:val="center"/>
        <w:rPr>
          <w:rFonts w:ascii="仿宋_GB2312" w:eastAsia="仿宋_GB2312"/>
          <w:b/>
          <w:sz w:val="32"/>
          <w:szCs w:val="32"/>
        </w:rPr>
      </w:pPr>
      <w:r>
        <w:rPr>
          <w:rFonts w:hint="eastAsia" w:ascii="仿宋_GB2312" w:eastAsia="仿宋_GB2312"/>
          <w:b/>
          <w:sz w:val="32"/>
          <w:szCs w:val="32"/>
        </w:rPr>
        <w:t>第一部分 部门概况</w:t>
      </w:r>
    </w:p>
    <w:p w14:paraId="723A256A">
      <w:pPr>
        <w:rPr>
          <w:rFonts w:ascii="仿宋_GB2312" w:eastAsia="仿宋_GB2312"/>
          <w:sz w:val="32"/>
          <w:szCs w:val="32"/>
        </w:rPr>
      </w:pPr>
    </w:p>
    <w:p w14:paraId="586BC2A1">
      <w:pPr>
        <w:ind w:firstLine="800" w:firstLineChars="250"/>
        <w:rPr>
          <w:rFonts w:ascii="仿宋_GB2312" w:eastAsia="仿宋_GB2312"/>
          <w:sz w:val="32"/>
          <w:szCs w:val="32"/>
        </w:rPr>
      </w:pPr>
      <w:r>
        <w:rPr>
          <w:rFonts w:hint="eastAsia" w:ascii="仿宋_GB2312" w:eastAsia="仿宋_GB2312"/>
          <w:sz w:val="32"/>
          <w:szCs w:val="32"/>
        </w:rPr>
        <w:t>一、基本职能及主要工作</w:t>
      </w:r>
    </w:p>
    <w:p w14:paraId="3E48C8FA">
      <w:pPr>
        <w:ind w:firstLine="640" w:firstLineChars="200"/>
        <w:rPr>
          <w:rFonts w:ascii="仿宋_GB2312" w:eastAsia="仿宋_GB2312"/>
          <w:sz w:val="32"/>
          <w:szCs w:val="32"/>
        </w:rPr>
      </w:pPr>
      <w:r>
        <w:rPr>
          <w:rFonts w:hint="eastAsia" w:ascii="仿宋_GB2312" w:eastAsia="仿宋_GB2312"/>
          <w:sz w:val="32"/>
          <w:szCs w:val="32"/>
        </w:rPr>
        <w:t>（一）主要职能。（职能参照省政府批准的三定方案）</w:t>
      </w:r>
    </w:p>
    <w:p w14:paraId="63B9AE91">
      <w:pPr>
        <w:ind w:firstLine="640" w:firstLineChars="200"/>
        <w:rPr>
          <w:rFonts w:ascii="仿宋_GB2312" w:eastAsia="仿宋_GB2312"/>
          <w:sz w:val="32"/>
          <w:szCs w:val="32"/>
        </w:rPr>
      </w:pPr>
      <w:r>
        <w:rPr>
          <w:rFonts w:hint="eastAsia" w:ascii="仿宋_GB2312" w:eastAsia="仿宋_GB2312"/>
          <w:sz w:val="32"/>
          <w:szCs w:val="32"/>
        </w:rPr>
        <w:t>（一）依法审理法律规定由基层人民法院管辖、中级人民法院指定管辖或者认为应当由本法院审理的刑事、民事、行政等一审案件。</w:t>
      </w:r>
    </w:p>
    <w:p w14:paraId="5DFFC182">
      <w:pPr>
        <w:ind w:firstLine="640" w:firstLineChars="200"/>
        <w:rPr>
          <w:rFonts w:ascii="仿宋_GB2312" w:eastAsia="仿宋_GB2312"/>
          <w:sz w:val="32"/>
          <w:szCs w:val="32"/>
        </w:rPr>
      </w:pPr>
      <w:r>
        <w:rPr>
          <w:rFonts w:hint="eastAsia" w:ascii="仿宋_GB2312" w:eastAsia="仿宋_GB2312"/>
          <w:sz w:val="32"/>
          <w:szCs w:val="32"/>
        </w:rPr>
        <w:t>（二）依法审理中级人民法院指定再审的案件和市人民检察院抗诉的案件。受理当事人不服本院发生法律效力的判决、裁定并提起申诉的刑事、行政诉讼案件。</w:t>
      </w:r>
    </w:p>
    <w:p w14:paraId="40E0D74E">
      <w:pPr>
        <w:ind w:firstLine="480" w:firstLineChars="150"/>
        <w:rPr>
          <w:rFonts w:ascii="仿宋_GB2312" w:eastAsia="仿宋_GB2312"/>
          <w:sz w:val="32"/>
          <w:szCs w:val="32"/>
        </w:rPr>
      </w:pPr>
      <w:r>
        <w:rPr>
          <w:rFonts w:hint="eastAsia" w:ascii="仿宋_GB2312" w:eastAsia="仿宋_GB2312"/>
          <w:sz w:val="32"/>
          <w:szCs w:val="32"/>
        </w:rPr>
        <w:t>（三）依法行使执行权和司法决定权。</w:t>
      </w:r>
    </w:p>
    <w:p w14:paraId="0F9422F1">
      <w:pPr>
        <w:ind w:firstLine="480" w:firstLineChars="150"/>
        <w:rPr>
          <w:rFonts w:ascii="仿宋_GB2312" w:eastAsia="仿宋_GB2312"/>
          <w:sz w:val="32"/>
          <w:szCs w:val="32"/>
        </w:rPr>
      </w:pPr>
      <w:r>
        <w:rPr>
          <w:rFonts w:hint="eastAsia" w:ascii="仿宋_GB2312" w:eastAsia="仿宋_GB2312"/>
          <w:sz w:val="32"/>
          <w:szCs w:val="32"/>
        </w:rPr>
        <w:t>（四）对法律规定、规章等草案提出意见，对案件审理中发现的问题提出司法建议。</w:t>
      </w:r>
    </w:p>
    <w:p w14:paraId="0AD9EFB9">
      <w:pPr>
        <w:ind w:firstLine="480" w:firstLineChars="150"/>
        <w:rPr>
          <w:rFonts w:ascii="仿宋_GB2312" w:eastAsia="仿宋_GB2312"/>
          <w:sz w:val="32"/>
          <w:szCs w:val="32"/>
        </w:rPr>
      </w:pPr>
      <w:r>
        <w:rPr>
          <w:rFonts w:hint="eastAsia" w:ascii="仿宋_GB2312" w:eastAsia="仿宋_GB2312"/>
          <w:sz w:val="32"/>
          <w:szCs w:val="32"/>
        </w:rPr>
        <w:t>（五）指导基层法庭工作。</w:t>
      </w:r>
    </w:p>
    <w:p w14:paraId="797DD795">
      <w:pPr>
        <w:ind w:firstLine="480" w:firstLineChars="150"/>
        <w:rPr>
          <w:rFonts w:ascii="仿宋_GB2312" w:eastAsia="仿宋_GB2312"/>
          <w:sz w:val="32"/>
          <w:szCs w:val="32"/>
        </w:rPr>
      </w:pPr>
      <w:r>
        <w:rPr>
          <w:rFonts w:hint="eastAsia" w:ascii="仿宋_GB2312" w:eastAsia="仿宋_GB2312"/>
          <w:sz w:val="32"/>
          <w:szCs w:val="32"/>
        </w:rPr>
        <w:t>（六）负责全院的思想政治、教育培训工作和干部管理工作。</w:t>
      </w:r>
    </w:p>
    <w:p w14:paraId="33598A70">
      <w:pPr>
        <w:ind w:firstLine="480" w:firstLineChars="150"/>
        <w:rPr>
          <w:rFonts w:ascii="仿宋_GB2312" w:eastAsia="仿宋_GB2312"/>
          <w:sz w:val="32"/>
          <w:szCs w:val="32"/>
        </w:rPr>
      </w:pPr>
      <w:r>
        <w:rPr>
          <w:rFonts w:hint="eastAsia" w:ascii="仿宋_GB2312" w:eastAsia="仿宋_GB2312"/>
          <w:sz w:val="32"/>
          <w:szCs w:val="32"/>
        </w:rPr>
        <w:t>（七）负责全院财务、专项投资的计划管理及分配。</w:t>
      </w:r>
    </w:p>
    <w:p w14:paraId="181AC4B3">
      <w:pPr>
        <w:ind w:firstLine="480" w:firstLineChars="150"/>
        <w:rPr>
          <w:rFonts w:ascii="仿宋_GB2312" w:eastAsia="仿宋_GB2312"/>
          <w:sz w:val="32"/>
          <w:szCs w:val="32"/>
        </w:rPr>
      </w:pPr>
      <w:r>
        <w:rPr>
          <w:rFonts w:hint="eastAsia" w:ascii="仿宋_GB2312" w:eastAsia="仿宋_GB2312"/>
          <w:sz w:val="32"/>
          <w:szCs w:val="32"/>
        </w:rPr>
        <w:t>（八）负责全院的监察工作。</w:t>
      </w:r>
    </w:p>
    <w:p w14:paraId="6C349C4D">
      <w:pPr>
        <w:ind w:firstLine="480" w:firstLineChars="150"/>
        <w:rPr>
          <w:rFonts w:ascii="仿宋_GB2312" w:eastAsia="仿宋_GB2312"/>
          <w:sz w:val="32"/>
          <w:szCs w:val="32"/>
        </w:rPr>
      </w:pPr>
      <w:r>
        <w:rPr>
          <w:rFonts w:hint="eastAsia" w:ascii="仿宋_GB2312" w:eastAsia="仿宋_GB2312"/>
          <w:sz w:val="32"/>
          <w:szCs w:val="32"/>
        </w:rPr>
        <w:t>（九）管理人民法院司法警察工作。</w:t>
      </w:r>
    </w:p>
    <w:p w14:paraId="7DF5B18A">
      <w:pPr>
        <w:ind w:firstLine="480" w:firstLineChars="150"/>
        <w:rPr>
          <w:rFonts w:ascii="仿宋_GB2312" w:eastAsia="仿宋_GB2312"/>
          <w:sz w:val="32"/>
          <w:szCs w:val="32"/>
        </w:rPr>
      </w:pPr>
      <w:r>
        <w:rPr>
          <w:rFonts w:hint="eastAsia" w:ascii="仿宋_GB2312" w:eastAsia="仿宋_GB2312"/>
          <w:sz w:val="32"/>
          <w:szCs w:val="32"/>
        </w:rPr>
        <w:t>（十）做好本院行政、后勤事业管理和服务工作。</w:t>
      </w:r>
    </w:p>
    <w:p w14:paraId="332A866F">
      <w:pPr>
        <w:ind w:firstLine="480" w:firstLineChars="150"/>
        <w:rPr>
          <w:rFonts w:ascii="仿宋_GB2312" w:eastAsia="仿宋_GB2312"/>
          <w:sz w:val="32"/>
          <w:szCs w:val="32"/>
        </w:rPr>
      </w:pPr>
      <w:r>
        <w:rPr>
          <w:rFonts w:hint="eastAsia" w:ascii="仿宋_GB2312" w:eastAsia="仿宋_GB2312"/>
          <w:sz w:val="32"/>
          <w:szCs w:val="32"/>
        </w:rPr>
        <w:t>（十一）宣传法制，教育公民忠于社会主义祖国，自觉遵守宪法、法律和社会公德。</w:t>
      </w:r>
    </w:p>
    <w:p w14:paraId="305FF70A">
      <w:pPr>
        <w:ind w:firstLine="480" w:firstLineChars="150"/>
        <w:rPr>
          <w:rFonts w:ascii="仿宋_GB2312" w:eastAsia="仿宋_GB2312"/>
          <w:sz w:val="32"/>
          <w:szCs w:val="32"/>
        </w:rPr>
      </w:pPr>
      <w:r>
        <w:rPr>
          <w:rFonts w:hint="eastAsia" w:ascii="仿宋_GB2312" w:eastAsia="仿宋_GB2312"/>
          <w:sz w:val="32"/>
          <w:szCs w:val="32"/>
        </w:rPr>
        <w:t>（十二）积极参与社会治安综合治理。</w:t>
      </w:r>
    </w:p>
    <w:p w14:paraId="368725F7">
      <w:pPr>
        <w:ind w:firstLine="480" w:firstLineChars="150"/>
        <w:rPr>
          <w:rFonts w:ascii="仿宋_GB2312" w:eastAsia="仿宋_GB2312"/>
          <w:sz w:val="32"/>
          <w:szCs w:val="32"/>
        </w:rPr>
      </w:pPr>
      <w:r>
        <w:rPr>
          <w:rFonts w:hint="eastAsia" w:ascii="仿宋_GB2312" w:eastAsia="仿宋_GB2312"/>
          <w:sz w:val="32"/>
          <w:szCs w:val="32"/>
        </w:rPr>
        <w:t>（十三）承办其它应由基层人民法院负责的工作。</w:t>
      </w:r>
    </w:p>
    <w:p w14:paraId="19BCDBDA">
      <w:pPr>
        <w:ind w:firstLine="480" w:firstLineChars="150"/>
        <w:rPr>
          <w:rFonts w:ascii="仿宋_GB2312" w:eastAsia="仿宋_GB2312"/>
          <w:sz w:val="32"/>
          <w:szCs w:val="32"/>
        </w:rPr>
      </w:pPr>
      <w:r>
        <w:rPr>
          <w:rFonts w:hint="eastAsia" w:ascii="仿宋_GB2312" w:eastAsia="仿宋_GB2312"/>
          <w:sz w:val="32"/>
          <w:szCs w:val="32"/>
        </w:rPr>
        <w:t>（二）2018年重点工作完成情况。</w:t>
      </w:r>
    </w:p>
    <w:p w14:paraId="74CBE87C">
      <w:pPr>
        <w:ind w:firstLine="640" w:firstLineChars="200"/>
        <w:rPr>
          <w:rFonts w:ascii="仿宋_GB2312" w:eastAsia="仿宋_GB2312"/>
          <w:sz w:val="32"/>
          <w:szCs w:val="32"/>
        </w:rPr>
      </w:pPr>
      <w:r>
        <w:rPr>
          <w:rFonts w:hint="eastAsia" w:ascii="仿宋_GB2312" w:eastAsia="仿宋_GB2312"/>
          <w:sz w:val="32"/>
          <w:szCs w:val="32"/>
        </w:rPr>
        <w:t>坚持以习近平新时代中国特色社会主义思想为指引，全面学习贯彻落实党的十九大精神，紧紧围绕区七次党代会和区委七届五次全会的部署和工作目标，牢牢把握“司法为民、公正司法”工作主线，充分履职尽责，狠抓执法办案，继续推进司法改革，加快“智慧法院”建设步伐，努力回应群众对司法的新需求和新期待，为奋力实现脱贫攻坚与全面小康双重跨越，加快建设现代化产城一体城乡融合绿色发展的昭化新区提供坚强有力的司法服务和保障。</w:t>
      </w:r>
    </w:p>
    <w:p w14:paraId="433A1998">
      <w:pPr>
        <w:ind w:firstLine="640" w:firstLineChars="200"/>
        <w:rPr>
          <w:rFonts w:ascii="仿宋_GB2312" w:eastAsia="仿宋_GB2312"/>
          <w:sz w:val="32"/>
          <w:szCs w:val="32"/>
        </w:rPr>
      </w:pPr>
      <w:r>
        <w:rPr>
          <w:rFonts w:hint="eastAsia" w:ascii="仿宋_GB2312" w:eastAsia="仿宋_GB2312"/>
          <w:sz w:val="32"/>
          <w:szCs w:val="32"/>
        </w:rPr>
        <w:t>一、更加主动地服务社会发展大局。自觉把思想和行动统一到区委对形势的分析判断和决策部署上来，不断提高贯彻落实的自觉性和坚定性。紧密结合审判工作实际，通过依法公正高效审理和执行涉及绿色发展、脱贫攻坚、项目投资、产业发展等相关案件，切实推动区委决策部署落地见效。</w:t>
      </w:r>
    </w:p>
    <w:p w14:paraId="2C3585D5">
      <w:pPr>
        <w:ind w:firstLine="640" w:firstLineChars="200"/>
        <w:rPr>
          <w:rFonts w:ascii="仿宋_GB2312" w:eastAsia="仿宋_GB2312"/>
          <w:sz w:val="32"/>
          <w:szCs w:val="32"/>
        </w:rPr>
      </w:pPr>
      <w:r>
        <w:rPr>
          <w:rFonts w:hint="eastAsia" w:ascii="仿宋_GB2312" w:eastAsia="仿宋_GB2312"/>
          <w:sz w:val="32"/>
          <w:szCs w:val="32"/>
        </w:rPr>
        <w:t>二、更加坚定地抓好审判执行案件质量。结合市法院“两个一流”考核办法和我院绩效考核办法，进一步开展案件研讨、法律问题研究，切实加强业务交流学习。充分发挥专业法官会议作用，为法官提供法律咨询，确保案件质量。加强审判管理，严格时限和督办管理，提升审判执行案件效率。</w:t>
      </w:r>
    </w:p>
    <w:p w14:paraId="715D31DD">
      <w:pPr>
        <w:ind w:firstLine="640" w:firstLineChars="200"/>
        <w:rPr>
          <w:rFonts w:ascii="仿宋_GB2312" w:eastAsia="仿宋_GB2312"/>
          <w:sz w:val="32"/>
          <w:szCs w:val="32"/>
        </w:rPr>
      </w:pPr>
      <w:r>
        <w:rPr>
          <w:rFonts w:hint="eastAsia" w:ascii="仿宋_GB2312" w:eastAsia="仿宋_GB2312"/>
          <w:sz w:val="32"/>
          <w:szCs w:val="32"/>
        </w:rPr>
        <w:t>三、更加深入地推进司法改革工作。继续深化司法体制综合配套改革，确保改革政策落实到位、改革效果明显提升。及时研究解决审判团队运行、三类人员业绩考评等工作中出现的新情况新问题，健全完善更加科学合理的人员管理机制，确保司法改革各项政策精准落地，进一步巩固和完善司法体制改革成果。</w:t>
      </w:r>
    </w:p>
    <w:p w14:paraId="43E64B1F">
      <w:pPr>
        <w:ind w:firstLine="640" w:firstLineChars="200"/>
        <w:rPr>
          <w:rFonts w:ascii="仿宋_GB2312" w:eastAsia="仿宋_GB2312"/>
          <w:sz w:val="32"/>
          <w:szCs w:val="32"/>
        </w:rPr>
      </w:pPr>
      <w:r>
        <w:rPr>
          <w:rFonts w:hint="eastAsia" w:ascii="仿宋_GB2312" w:eastAsia="仿宋_GB2312"/>
          <w:sz w:val="32"/>
          <w:szCs w:val="32"/>
        </w:rPr>
        <w:t>四、更加有效地落实司法为民。创新工作方法，积极回应社会关切，满足人民群众对司法的新需求。依法高效审理各类涉民生案件，加大涉民生案件执行力度，切实维护弱势群体合法权益。不断加快“智慧法院”建设，加大案件庭审直播力度，增加当事人和社会各界了解法院的渠道。</w:t>
      </w:r>
    </w:p>
    <w:p w14:paraId="0939820C">
      <w:pPr>
        <w:ind w:firstLine="640" w:firstLineChars="200"/>
        <w:rPr>
          <w:rFonts w:ascii="仿宋_GB2312" w:eastAsia="仿宋_GB2312"/>
          <w:sz w:val="32"/>
          <w:szCs w:val="32"/>
        </w:rPr>
      </w:pPr>
      <w:r>
        <w:rPr>
          <w:rFonts w:hint="eastAsia" w:ascii="仿宋_GB2312" w:eastAsia="仿宋_GB2312"/>
          <w:sz w:val="32"/>
          <w:szCs w:val="32"/>
        </w:rPr>
        <w:t>五、更加严格地抓好队伍建设。深入学习贯彻党的十九大精神，开展“不忘初心</w:t>
      </w:r>
      <w:r>
        <w:rPr>
          <w:rFonts w:hint="eastAsia" w:ascii="仿宋_GB2312" w:eastAsia="仿宋_GB2312"/>
          <w:sz w:val="32"/>
          <w:szCs w:val="32"/>
          <w:lang w:eastAsia="zh-CN"/>
        </w:rPr>
        <w:t>、</w:t>
      </w:r>
      <w:r>
        <w:rPr>
          <w:rFonts w:hint="eastAsia" w:ascii="仿宋_GB2312" w:eastAsia="仿宋_GB2312"/>
          <w:sz w:val="32"/>
          <w:szCs w:val="32"/>
        </w:rPr>
        <w:t>牢记使命”主题教育，强化职能培训，着力提升干警的政治素质和履职能力。持之以恒正风肃纪，坚决惩治司法腐败，进一步加强对党员干部的监督管理，全方位向社会展示法院在改革中的成效，树立良好的法院形象。</w:t>
      </w:r>
    </w:p>
    <w:p w14:paraId="6F904E02">
      <w:pPr>
        <w:ind w:firstLine="640" w:firstLineChars="200"/>
        <w:rPr>
          <w:rFonts w:ascii="仿宋_GB2312" w:eastAsia="仿宋_GB2312"/>
          <w:sz w:val="32"/>
          <w:szCs w:val="32"/>
        </w:rPr>
      </w:pPr>
      <w:r>
        <w:rPr>
          <w:rFonts w:hint="eastAsia" w:ascii="仿宋_GB2312" w:eastAsia="仿宋_GB2312"/>
          <w:sz w:val="32"/>
          <w:szCs w:val="32"/>
        </w:rPr>
        <w:t>二、机构设置</w:t>
      </w:r>
    </w:p>
    <w:p w14:paraId="0ED62394">
      <w:pPr>
        <w:ind w:firstLine="640"/>
        <w:rPr>
          <w:rFonts w:ascii="仿宋_GB2312" w:eastAsia="仿宋_GB2312"/>
          <w:sz w:val="32"/>
          <w:szCs w:val="32"/>
        </w:rPr>
      </w:pPr>
      <w:r>
        <w:rPr>
          <w:rFonts w:hint="eastAsia" w:ascii="仿宋_GB2312" w:eastAsia="仿宋_GB2312"/>
          <w:sz w:val="32"/>
          <w:szCs w:val="32"/>
        </w:rPr>
        <w:t>区法院设置21个部门，纪检组、政治处、监察室、研究室、审管办、审判监督庭、刑事审判庭、执行局（执行庭）、民商事审判一庭、民商事审判二庭、立案庭、行政庭、法警大队、办公室、机关事务部、虎跳法庭、卫子法庭、王家法庭、昭化法庭、明觉法庭、太公法庭。</w:t>
      </w:r>
    </w:p>
    <w:p w14:paraId="269C02A6">
      <w:pPr>
        <w:ind w:firstLine="640"/>
        <w:rPr>
          <w:rFonts w:ascii="仿宋_GB2312" w:eastAsia="仿宋_GB2312"/>
          <w:sz w:val="32"/>
          <w:szCs w:val="32"/>
        </w:rPr>
      </w:pPr>
      <w:r>
        <w:rPr>
          <w:rFonts w:hint="eastAsia" w:ascii="仿宋_GB2312" w:eastAsia="仿宋_GB2312"/>
          <w:sz w:val="32"/>
          <w:szCs w:val="32"/>
        </w:rPr>
        <w:t>无下属二级单位。</w:t>
      </w:r>
    </w:p>
    <w:p w14:paraId="2068A6D9">
      <w:pPr>
        <w:widowControl/>
        <w:jc w:val="left"/>
        <w:rPr>
          <w:rFonts w:ascii="仿宋_GB2312" w:eastAsia="仿宋_GB2312"/>
          <w:sz w:val="32"/>
          <w:szCs w:val="32"/>
        </w:rPr>
      </w:pPr>
      <w:r>
        <w:rPr>
          <w:rFonts w:ascii="仿宋_GB2312" w:eastAsia="仿宋_GB2312"/>
          <w:sz w:val="32"/>
          <w:szCs w:val="32"/>
        </w:rPr>
        <w:br w:type="page"/>
      </w:r>
    </w:p>
    <w:p w14:paraId="4E8C499B">
      <w:pPr>
        <w:jc w:val="center"/>
        <w:rPr>
          <w:rFonts w:ascii="仿宋_GB2312" w:eastAsia="仿宋_GB2312"/>
          <w:b/>
          <w:sz w:val="32"/>
          <w:szCs w:val="32"/>
        </w:rPr>
      </w:pPr>
      <w:r>
        <w:rPr>
          <w:rFonts w:hint="eastAsia" w:ascii="仿宋_GB2312" w:eastAsia="仿宋_GB2312"/>
          <w:b/>
          <w:sz w:val="32"/>
          <w:szCs w:val="32"/>
        </w:rPr>
        <w:t>第二部分 2018年度部门决算情况说明</w:t>
      </w:r>
    </w:p>
    <w:p w14:paraId="356B60C3">
      <w:pPr>
        <w:rPr>
          <w:rFonts w:ascii="仿宋_GB2312" w:eastAsia="仿宋_GB2312"/>
          <w:sz w:val="32"/>
          <w:szCs w:val="32"/>
        </w:rPr>
      </w:pPr>
    </w:p>
    <w:p w14:paraId="3A1D0E93">
      <w:pPr>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rPr>
        <w:tab/>
      </w:r>
      <w:r>
        <w:rPr>
          <w:rFonts w:hint="eastAsia" w:ascii="仿宋_GB2312" w:eastAsia="仿宋_GB2312"/>
          <w:sz w:val="32"/>
          <w:szCs w:val="32"/>
        </w:rPr>
        <w:t>收入支出决算总体情况说明</w:t>
      </w:r>
    </w:p>
    <w:p w14:paraId="4EF09717">
      <w:pPr>
        <w:ind w:firstLine="640" w:firstLineChars="200"/>
        <w:rPr>
          <w:rFonts w:ascii="仿宋_GB2312" w:eastAsia="仿宋_GB2312"/>
          <w:sz w:val="32"/>
          <w:szCs w:val="32"/>
        </w:rPr>
      </w:pPr>
      <w:r>
        <w:rPr>
          <w:rFonts w:hint="eastAsia" w:ascii="仿宋_GB2312" w:eastAsia="仿宋_GB2312"/>
          <w:sz w:val="32"/>
          <w:szCs w:val="32"/>
        </w:rPr>
        <w:t>2018年度收、支总计1436.45万元。与2017年相比，收、支总计各增加37.77万元，增加5%。主要变动原因是人员增加，基本工资、津贴补贴、奖金、伙食补助费、绩效工资、机关事业单位基本养老保险缴费、职业年金缴费、其他社会保障缴费、其他工资福利支出、退休费、生活补助、医疗费、奖励金、住房公积金、其他对个人和家庭的补助支出。</w:t>
      </w:r>
    </w:p>
    <w:p w14:paraId="597A1975">
      <w:pPr>
        <w:rPr>
          <w:rFonts w:ascii="仿宋_GB2312" w:eastAsia="仿宋_GB2312"/>
          <w:sz w:val="32"/>
          <w:szCs w:val="32"/>
        </w:rPr>
      </w:pPr>
    </w:p>
    <w:p w14:paraId="1789EBA7">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drawing>
          <wp:inline distT="0" distB="0" distL="0" distR="0">
            <wp:extent cx="4572000" cy="2743200"/>
            <wp:effectExtent l="19050" t="0" r="19050" b="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1A019E8">
      <w:pPr>
        <w:rPr>
          <w:rFonts w:ascii="仿宋_GB2312" w:eastAsia="仿宋_GB2312"/>
          <w:sz w:val="32"/>
          <w:szCs w:val="32"/>
        </w:rPr>
      </w:pPr>
    </w:p>
    <w:p w14:paraId="24558F5D">
      <w:pPr>
        <w:ind w:firstLine="640" w:firstLineChars="200"/>
        <w:rPr>
          <w:rFonts w:ascii="仿宋_GB2312" w:eastAsia="仿宋_GB2312"/>
          <w:sz w:val="32"/>
          <w:szCs w:val="32"/>
        </w:rPr>
      </w:pPr>
      <w:r>
        <w:rPr>
          <w:rFonts w:hint="eastAsia" w:ascii="仿宋_GB2312" w:eastAsia="仿宋_GB2312"/>
          <w:sz w:val="32"/>
          <w:szCs w:val="32"/>
        </w:rPr>
        <w:t>二、收入决算情况说明</w:t>
      </w:r>
    </w:p>
    <w:p w14:paraId="33F3EBD6">
      <w:pPr>
        <w:ind w:firstLine="640" w:firstLineChars="200"/>
        <w:rPr>
          <w:rFonts w:ascii="仿宋_GB2312" w:eastAsia="仿宋_GB2312"/>
          <w:sz w:val="32"/>
          <w:szCs w:val="32"/>
        </w:rPr>
      </w:pPr>
      <w:r>
        <w:rPr>
          <w:rFonts w:hint="eastAsia" w:ascii="仿宋_GB2312" w:eastAsia="仿宋_GB2312"/>
          <w:sz w:val="32"/>
          <w:szCs w:val="32"/>
        </w:rPr>
        <w:t>2018年本年收入合计1436.45万元，其中：一般公共预算财政拨款收入1436.45万元，占100%；政府性基金预算财政拨款收入0万元，占0%；国有资本经营预算财政拨款收入0万元，占0%；事业收入0万元，占0%；经营收入0万元，占0%；附属单位上缴收入0万元，占0%；其他收入0万元，占0%。</w:t>
      </w:r>
    </w:p>
    <w:p w14:paraId="4F4C4CDB">
      <w:pPr>
        <w:rPr>
          <w:rFonts w:ascii="仿宋_GB2312" w:eastAsia="仿宋_GB2312"/>
          <w:sz w:val="32"/>
          <w:szCs w:val="32"/>
        </w:rPr>
      </w:pPr>
      <w:r>
        <w:rPr>
          <w:rFonts w:ascii="仿宋_GB2312" w:eastAsia="仿宋_GB2312"/>
          <w:sz w:val="32"/>
          <w:szCs w:val="32"/>
        </w:rPr>
        <w:drawing>
          <wp:inline distT="0" distB="0" distL="0" distR="0">
            <wp:extent cx="4469765" cy="2327275"/>
            <wp:effectExtent l="19050" t="0" r="25977"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48553B1">
      <w:pPr>
        <w:rPr>
          <w:rFonts w:ascii="仿宋_GB2312" w:eastAsia="仿宋_GB2312"/>
          <w:sz w:val="32"/>
          <w:szCs w:val="32"/>
        </w:rPr>
      </w:pPr>
    </w:p>
    <w:p w14:paraId="7B4BB865">
      <w:pPr>
        <w:ind w:firstLine="640" w:firstLineChars="200"/>
        <w:rPr>
          <w:rFonts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rPr>
        <w:tab/>
      </w:r>
      <w:r>
        <w:rPr>
          <w:rFonts w:hint="eastAsia" w:ascii="仿宋_GB2312" w:eastAsia="仿宋_GB2312"/>
          <w:sz w:val="32"/>
          <w:szCs w:val="32"/>
        </w:rPr>
        <w:t>支出决算情况说明</w:t>
      </w:r>
    </w:p>
    <w:p w14:paraId="02E0730D">
      <w:pPr>
        <w:ind w:firstLine="640" w:firstLineChars="200"/>
        <w:rPr>
          <w:rFonts w:ascii="仿宋_GB2312" w:eastAsia="仿宋_GB2312"/>
          <w:sz w:val="32"/>
          <w:szCs w:val="32"/>
        </w:rPr>
      </w:pPr>
      <w:r>
        <w:rPr>
          <w:rFonts w:hint="eastAsia" w:ascii="仿宋_GB2312" w:eastAsia="仿宋_GB2312"/>
          <w:sz w:val="32"/>
          <w:szCs w:val="32"/>
        </w:rPr>
        <w:t>2018年本年支出合计1436.45万元，其中：基本支出1166.7万元，占75%；项目支出379.15万元，占25%；上缴上级支出0万元，占0%；经营支出0万元，占0%；对附属单位补助支出0万元，占0%。</w:t>
      </w:r>
    </w:p>
    <w:p w14:paraId="454F04A3">
      <w:pPr>
        <w:ind w:firstLine="640" w:firstLineChars="200"/>
        <w:rPr>
          <w:rFonts w:ascii="仿宋_GB2312" w:eastAsia="仿宋_GB2312"/>
          <w:sz w:val="32"/>
          <w:szCs w:val="32"/>
        </w:rPr>
      </w:pPr>
    </w:p>
    <w:p w14:paraId="17580E97">
      <w:pPr>
        <w:ind w:firstLine="640" w:firstLineChars="200"/>
        <w:rPr>
          <w:rFonts w:ascii="仿宋_GB2312" w:eastAsia="仿宋_GB2312"/>
          <w:sz w:val="32"/>
          <w:szCs w:val="32"/>
        </w:rPr>
      </w:pPr>
      <w:r>
        <w:rPr>
          <w:rFonts w:ascii="仿宋_GB2312" w:eastAsia="仿宋_GB2312"/>
          <w:sz w:val="32"/>
          <w:szCs w:val="32"/>
        </w:rPr>
        <w:drawing>
          <wp:inline distT="0" distB="0" distL="0" distR="0">
            <wp:extent cx="4572000" cy="2743200"/>
            <wp:effectExtent l="19050" t="0" r="19050" b="0"/>
            <wp:docPr id="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859196E">
      <w:pPr>
        <w:rPr>
          <w:rFonts w:ascii="仿宋_GB2312" w:eastAsia="仿宋_GB2312"/>
          <w:sz w:val="32"/>
          <w:szCs w:val="32"/>
        </w:rPr>
      </w:pPr>
    </w:p>
    <w:p w14:paraId="266A1F52">
      <w:pPr>
        <w:ind w:firstLine="640" w:firstLineChars="200"/>
        <w:rPr>
          <w:rFonts w:ascii="仿宋_GB2312" w:eastAsia="仿宋_GB2312"/>
          <w:sz w:val="32"/>
          <w:szCs w:val="32"/>
        </w:rPr>
      </w:pPr>
      <w:r>
        <w:rPr>
          <w:rFonts w:hint="eastAsia" w:ascii="仿宋_GB2312" w:eastAsia="仿宋_GB2312"/>
          <w:sz w:val="32"/>
          <w:szCs w:val="32"/>
        </w:rPr>
        <w:t>四、财政拨款收入支出决算总体情况说明</w:t>
      </w:r>
    </w:p>
    <w:p w14:paraId="45E9ABFE">
      <w:pPr>
        <w:snapToGrid w:val="0"/>
        <w:ind w:firstLine="640" w:firstLineChars="200"/>
        <w:rPr>
          <w:rFonts w:ascii="仿宋_GB2312" w:hAnsi="仿宋_GB2312" w:eastAsia="仿宋_GB2312" w:cs="仿宋_GB2312"/>
          <w:sz w:val="32"/>
          <w:szCs w:val="32"/>
        </w:rPr>
      </w:pPr>
      <w:r>
        <w:rPr>
          <w:rFonts w:hint="eastAsia" w:ascii="仿宋_GB2312" w:eastAsia="仿宋_GB2312"/>
          <w:sz w:val="32"/>
          <w:szCs w:val="32"/>
        </w:rPr>
        <w:t>2018年财政拨款收、支总计1436.45万元。</w:t>
      </w:r>
      <w:r>
        <w:rPr>
          <w:rFonts w:hint="eastAsia" w:ascii="仿宋_GB2312" w:hAnsi="仿宋_GB2312" w:eastAsia="仿宋_GB2312" w:cs="仿宋_GB2312"/>
          <w:color w:val="000000"/>
          <w:sz w:val="32"/>
          <w:szCs w:val="32"/>
        </w:rPr>
        <w:t>与2017年相比收支总计1347.08万元，收支总计增加89.37万元</w:t>
      </w:r>
      <w:r>
        <w:rPr>
          <w:rFonts w:hint="eastAsia" w:ascii="仿宋_GB2312" w:eastAsia="仿宋_GB2312"/>
          <w:sz w:val="32"/>
          <w:szCs w:val="32"/>
        </w:rPr>
        <w:t>。主要变动原因是</w:t>
      </w:r>
      <w:r>
        <w:rPr>
          <w:rFonts w:hint="eastAsia" w:ascii="仿宋_GB2312" w:hAnsi="仿宋_GB2312" w:eastAsia="仿宋_GB2312" w:cs="仿宋_GB2312"/>
          <w:sz w:val="32"/>
          <w:szCs w:val="32"/>
        </w:rPr>
        <w:t>2018年人员调资变化较大，另下达了法官绩效奖金的支出增加。</w:t>
      </w:r>
    </w:p>
    <w:p w14:paraId="3F7A30AA">
      <w:pPr>
        <w:ind w:firstLine="640" w:firstLineChars="200"/>
        <w:rPr>
          <w:rFonts w:ascii="仿宋_GB2312" w:eastAsia="仿宋_GB2312"/>
          <w:sz w:val="32"/>
          <w:szCs w:val="32"/>
        </w:rPr>
      </w:pPr>
      <w:r>
        <w:rPr>
          <w:rFonts w:ascii="仿宋_GB2312" w:eastAsia="仿宋_GB2312"/>
          <w:sz w:val="32"/>
          <w:szCs w:val="32"/>
        </w:rPr>
        <w:drawing>
          <wp:inline distT="0" distB="0" distL="0" distR="0">
            <wp:extent cx="4572000" cy="2743200"/>
            <wp:effectExtent l="19050" t="0" r="19050" b="0"/>
            <wp:docPr id="9"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9E8674F">
      <w:pPr>
        <w:ind w:firstLine="640" w:firstLineChars="200"/>
        <w:rPr>
          <w:rFonts w:ascii="仿宋_GB2312" w:eastAsia="仿宋_GB2312"/>
          <w:sz w:val="32"/>
          <w:szCs w:val="32"/>
        </w:rPr>
      </w:pPr>
    </w:p>
    <w:p w14:paraId="1F1967EF">
      <w:pPr>
        <w:ind w:firstLine="640" w:firstLineChars="200"/>
        <w:rPr>
          <w:rFonts w:ascii="仿宋_GB2312" w:eastAsia="仿宋_GB2312"/>
          <w:sz w:val="32"/>
          <w:szCs w:val="32"/>
        </w:rPr>
      </w:pPr>
      <w:r>
        <w:rPr>
          <w:rFonts w:hint="eastAsia" w:ascii="仿宋_GB2312" w:eastAsia="仿宋_GB2312"/>
          <w:sz w:val="32"/>
          <w:szCs w:val="32"/>
        </w:rPr>
        <w:t>五、一般公共预算财政拨款支出决算情况说明</w:t>
      </w:r>
    </w:p>
    <w:p w14:paraId="2903972E">
      <w:pPr>
        <w:ind w:firstLine="640" w:firstLineChars="200"/>
        <w:rPr>
          <w:rFonts w:ascii="仿宋_GB2312" w:eastAsia="仿宋_GB2312"/>
          <w:sz w:val="32"/>
          <w:szCs w:val="32"/>
        </w:rPr>
      </w:pPr>
      <w:r>
        <w:rPr>
          <w:rFonts w:hint="eastAsia" w:ascii="仿宋_GB2312" w:eastAsia="仿宋_GB2312"/>
          <w:sz w:val="32"/>
          <w:szCs w:val="32"/>
        </w:rPr>
        <w:t>（一）一般公共预算财政拨款支出决算总体情况</w:t>
      </w:r>
    </w:p>
    <w:p w14:paraId="14AF05C5">
      <w:pPr>
        <w:ind w:firstLine="640" w:firstLineChars="200"/>
        <w:rPr>
          <w:rFonts w:ascii="仿宋_GB2312" w:eastAsia="仿宋_GB2312"/>
          <w:sz w:val="32"/>
          <w:szCs w:val="32"/>
        </w:rPr>
      </w:pPr>
      <w:r>
        <w:rPr>
          <w:rFonts w:hint="eastAsia" w:ascii="仿宋_GB2312" w:hAnsi="仿宋_GB2312" w:eastAsia="仿宋_GB2312" w:cs="仿宋_GB2312"/>
          <w:color w:val="000000"/>
          <w:sz w:val="32"/>
          <w:szCs w:val="32"/>
        </w:rPr>
        <w:t>2018年一般公共预算财政拨款支出1436.45万元，占本年支出合计的100%。与2017年相比，一般公共预算财政拨1347.08万元,增加89.37万元，增长6.22%。主要变动原因是</w:t>
      </w:r>
      <w:r>
        <w:rPr>
          <w:rFonts w:hint="eastAsia" w:ascii="仿宋_GB2312" w:hAnsi="仿宋_GB2312" w:eastAsia="仿宋_GB2312" w:cs="仿宋_GB2312"/>
          <w:sz w:val="32"/>
          <w:szCs w:val="32"/>
        </w:rPr>
        <w:t>2018年人员调资变化较大，另下达了法官绩效奖金的支出增加。</w:t>
      </w:r>
    </w:p>
    <w:p w14:paraId="36F2281D">
      <w:pPr>
        <w:snapToGrid w:val="0"/>
        <w:ind w:firstLine="640" w:firstLineChars="200"/>
        <w:rPr>
          <w:rFonts w:ascii="仿宋_GB2312" w:hAnsi="仿宋_GB2312" w:eastAsia="仿宋_GB2312" w:cs="仿宋_GB2312"/>
          <w:sz w:val="32"/>
          <w:szCs w:val="32"/>
        </w:rPr>
      </w:pPr>
    </w:p>
    <w:p w14:paraId="62F694DD">
      <w:pPr>
        <w:snapToGrid w:val="0"/>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4487545" cy="2303780"/>
            <wp:effectExtent l="19050" t="0" r="27214" b="1237"/>
            <wp:docPr id="10"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960B86">
      <w:pPr>
        <w:rPr>
          <w:rFonts w:ascii="仿宋_GB2312" w:eastAsia="仿宋_GB2312"/>
          <w:sz w:val="32"/>
          <w:szCs w:val="32"/>
        </w:rPr>
      </w:pPr>
    </w:p>
    <w:p w14:paraId="47060743">
      <w:pPr>
        <w:ind w:firstLine="640" w:firstLineChars="200"/>
        <w:rPr>
          <w:rFonts w:ascii="仿宋_GB2312" w:eastAsia="仿宋_GB2312"/>
          <w:sz w:val="32"/>
          <w:szCs w:val="32"/>
        </w:rPr>
      </w:pPr>
      <w:r>
        <w:rPr>
          <w:rFonts w:hint="eastAsia" w:ascii="仿宋_GB2312" w:eastAsia="仿宋_GB2312"/>
          <w:sz w:val="32"/>
          <w:szCs w:val="32"/>
        </w:rPr>
        <w:t>（二）一般公共预算财政拨款支出决算结构情况</w:t>
      </w:r>
    </w:p>
    <w:p w14:paraId="35EED153">
      <w:pPr>
        <w:ind w:firstLine="640" w:firstLineChars="200"/>
        <w:rPr>
          <w:rFonts w:ascii="仿宋_GB2312" w:eastAsia="仿宋_GB2312"/>
          <w:sz w:val="32"/>
          <w:szCs w:val="32"/>
        </w:rPr>
      </w:pPr>
      <w:r>
        <w:rPr>
          <w:rFonts w:hint="eastAsia" w:ascii="仿宋_GB2312" w:eastAsia="仿宋_GB2312"/>
          <w:sz w:val="32"/>
          <w:szCs w:val="32"/>
        </w:rPr>
        <w:t>2018年一般公共预算财政拨款支出1436.45万元，主要用于以下方面:一般公共服务（类）支出1436.45万元，占100%；教育支出（类）0万元，占0%；科学技术（类）支出0万元，占0%；社会保障和就业（类）支出98.35万元，占6%；医疗卫生支出28.22万元，占2%；住房保障支出46.17万元，占3%。</w:t>
      </w:r>
    </w:p>
    <w:p w14:paraId="194AB6A8">
      <w:pPr>
        <w:ind w:firstLine="640" w:firstLineChars="200"/>
        <w:rPr>
          <w:rFonts w:ascii="仿宋_GB2312" w:eastAsia="仿宋_GB2312"/>
          <w:sz w:val="32"/>
          <w:szCs w:val="32"/>
        </w:rPr>
      </w:pPr>
    </w:p>
    <w:p w14:paraId="305F46C9">
      <w:pPr>
        <w:ind w:firstLine="640" w:firstLineChars="200"/>
        <w:rPr>
          <w:rFonts w:ascii="仿宋_GB2312" w:eastAsia="仿宋_GB2312"/>
          <w:sz w:val="32"/>
          <w:szCs w:val="32"/>
        </w:rPr>
      </w:pPr>
      <w:r>
        <w:rPr>
          <w:rFonts w:ascii="仿宋_GB2312" w:eastAsia="仿宋_GB2312"/>
          <w:sz w:val="32"/>
          <w:szCs w:val="32"/>
        </w:rPr>
        <w:drawing>
          <wp:inline distT="0" distB="0" distL="0" distR="0">
            <wp:extent cx="4992370" cy="2665730"/>
            <wp:effectExtent l="19050" t="0" r="17780" b="99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D4C078C">
      <w:pPr>
        <w:rPr>
          <w:rFonts w:ascii="仿宋_GB2312" w:eastAsia="仿宋_GB2312"/>
          <w:sz w:val="32"/>
          <w:szCs w:val="32"/>
        </w:rPr>
      </w:pPr>
    </w:p>
    <w:p w14:paraId="65979F2B">
      <w:pPr>
        <w:rPr>
          <w:rFonts w:ascii="仿宋_GB2312" w:eastAsia="仿宋_GB2312"/>
          <w:sz w:val="32"/>
          <w:szCs w:val="32"/>
        </w:rPr>
      </w:pPr>
    </w:p>
    <w:p w14:paraId="33DA6905">
      <w:pPr>
        <w:ind w:firstLine="643" w:firstLineChars="200"/>
        <w:rPr>
          <w:rFonts w:ascii="仿宋_GB2312" w:hAnsi="仿宋_GB2312" w:eastAsia="仿宋_GB2312" w:cs="仿宋_GB2312"/>
          <w:sz w:val="32"/>
          <w:szCs w:val="32"/>
        </w:rPr>
      </w:pPr>
      <w:bookmarkStart w:id="0" w:name="_Toc15378460"/>
      <w:bookmarkStart w:id="1" w:name="_Toc15377444"/>
      <w:bookmarkStart w:id="2" w:name="_Toc15377213"/>
      <w:r>
        <w:rPr>
          <w:rFonts w:hint="eastAsia" w:ascii="仿宋_GB2312" w:hAnsi="仿宋_GB2312" w:eastAsia="仿宋_GB2312" w:cs="仿宋_GB2312"/>
          <w:b/>
          <w:sz w:val="32"/>
          <w:szCs w:val="32"/>
        </w:rPr>
        <w:t>1.2018年一般公共预算支出决算数为</w:t>
      </w:r>
      <w:r>
        <w:rPr>
          <w:rFonts w:hint="eastAsia" w:ascii="仿宋_GB2312" w:hAnsi="仿宋_GB2312" w:eastAsia="仿宋_GB2312" w:cs="仿宋_GB2312"/>
          <w:sz w:val="32"/>
          <w:szCs w:val="32"/>
        </w:rPr>
        <w:t>1436.45万元，完成预算100%。其中：</w:t>
      </w:r>
      <w:bookmarkEnd w:id="0"/>
      <w:bookmarkEnd w:id="1"/>
      <w:bookmarkEnd w:id="2"/>
    </w:p>
    <w:p w14:paraId="03E2A9B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公共安全支出（类）法院支出（款）行政运行（项）: 支出决算为946.78万元，完成预算100%。</w:t>
      </w:r>
    </w:p>
    <w:p w14:paraId="1DD49E1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公共安全支出（类）法院支出（款）一般行政管理事务（项）支出决算为111.92万元，完成预算100%。</w:t>
      </w:r>
    </w:p>
    <w:p w14:paraId="4F40D2B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公共安全支出（类）法院支出（款）案件审判（项）支出决算为326万元，完成预算100%。</w:t>
      </w:r>
    </w:p>
    <w:p w14:paraId="56F7B4D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公共安全支出（类）法院支出（款）案件执行（项）支出决算为51.75万元，完成预算100%。</w:t>
      </w:r>
    </w:p>
    <w:p w14:paraId="16950874">
      <w:pPr>
        <w:numPr>
          <w:ilvl w:val="0"/>
          <w:numId w:val="1"/>
        </w:numPr>
        <w:ind w:firstLine="643" w:firstLineChars="200"/>
        <w:rPr>
          <w:rStyle w:val="12"/>
          <w:rFonts w:ascii="仿宋_GB2312" w:hAnsi="仿宋_GB2312" w:eastAsia="仿宋_GB2312" w:cs="仿宋_GB2312"/>
          <w:b w:val="0"/>
          <w:bCs/>
          <w:sz w:val="32"/>
          <w:szCs w:val="32"/>
        </w:rPr>
      </w:pPr>
      <w:r>
        <w:rPr>
          <w:rStyle w:val="12"/>
          <w:rFonts w:hint="eastAsia" w:ascii="仿宋_GB2312" w:hAnsi="仿宋_GB2312" w:eastAsia="仿宋_GB2312" w:cs="仿宋_GB2312"/>
          <w:bCs/>
          <w:sz w:val="32"/>
          <w:szCs w:val="32"/>
        </w:rPr>
        <w:t>科学技术（类）科技条件与服务（款）科技条件专项（项）:支出决算为26.73万元，完成预算100%。</w:t>
      </w:r>
    </w:p>
    <w:p w14:paraId="6E343630">
      <w:pPr>
        <w:numPr>
          <w:ilvl w:val="0"/>
          <w:numId w:val="1"/>
        </w:numPr>
        <w:ind w:firstLine="643" w:firstLineChars="200"/>
        <w:rPr>
          <w:rStyle w:val="12"/>
          <w:rFonts w:ascii="仿宋_GB2312" w:hAnsi="仿宋_GB2312" w:eastAsia="仿宋_GB2312" w:cs="仿宋_GB2312"/>
          <w:b w:val="0"/>
          <w:bCs/>
          <w:sz w:val="32"/>
          <w:szCs w:val="32"/>
        </w:rPr>
      </w:pPr>
      <w:r>
        <w:rPr>
          <w:rStyle w:val="12"/>
          <w:rFonts w:hint="eastAsia" w:ascii="仿宋_GB2312" w:hAnsi="仿宋_GB2312" w:eastAsia="仿宋_GB2312" w:cs="仿宋_GB2312"/>
          <w:bCs/>
          <w:sz w:val="32"/>
          <w:szCs w:val="32"/>
        </w:rPr>
        <w:t>社会保障和就业（类）行政事业单位离退休（款）  机关事业单位基本养老保险缴费支出（项）:支出决算为78.07万元，完成预算100%。</w:t>
      </w:r>
    </w:p>
    <w:p w14:paraId="25C98843">
      <w:pPr>
        <w:numPr>
          <w:ilvl w:val="0"/>
          <w:numId w:val="1"/>
        </w:numPr>
        <w:ind w:firstLine="643" w:firstLineChars="200"/>
        <w:rPr>
          <w:rStyle w:val="12"/>
          <w:rFonts w:ascii="仿宋_GB2312" w:hAnsi="仿宋_GB2312" w:eastAsia="仿宋_GB2312" w:cs="仿宋_GB2312"/>
          <w:b w:val="0"/>
          <w:bCs/>
          <w:sz w:val="32"/>
          <w:szCs w:val="32"/>
        </w:rPr>
      </w:pPr>
      <w:r>
        <w:rPr>
          <w:rStyle w:val="12"/>
          <w:rFonts w:hint="eastAsia" w:ascii="仿宋_GB2312" w:hAnsi="仿宋_GB2312" w:eastAsia="仿宋_GB2312" w:cs="仿宋_GB2312"/>
          <w:bCs/>
          <w:sz w:val="32"/>
          <w:szCs w:val="32"/>
        </w:rPr>
        <w:t>社会保障和就业（类）抚恤（款）死亡抚恤（项）: 支出决算为0万元，</w:t>
      </w:r>
      <w:r>
        <w:rPr>
          <w:rFonts w:hint="eastAsia" w:ascii="仿宋_GB2312" w:hAnsi="仿宋_GB2312" w:eastAsia="仿宋_GB2312" w:cs="仿宋_GB2312"/>
          <w:sz w:val="32"/>
          <w:szCs w:val="32"/>
        </w:rPr>
        <w:t>完成预算0%</w:t>
      </w:r>
      <w:r>
        <w:rPr>
          <w:rStyle w:val="12"/>
          <w:rFonts w:hint="eastAsia" w:ascii="仿宋_GB2312" w:hAnsi="仿宋_GB2312" w:eastAsia="仿宋_GB2312" w:cs="仿宋_GB2312"/>
          <w:bCs/>
          <w:sz w:val="32"/>
          <w:szCs w:val="32"/>
        </w:rPr>
        <w:t>。</w:t>
      </w:r>
    </w:p>
    <w:p w14:paraId="34081C84">
      <w:pPr>
        <w:ind w:firstLine="643" w:firstLineChars="200"/>
        <w:rPr>
          <w:rStyle w:val="12"/>
          <w:rFonts w:ascii="仿宋_GB2312" w:hAnsi="仿宋_GB2312" w:eastAsia="仿宋_GB2312" w:cs="仿宋_GB2312"/>
          <w:b w:val="0"/>
          <w:bCs/>
          <w:sz w:val="32"/>
          <w:szCs w:val="32"/>
        </w:rPr>
      </w:pPr>
      <w:r>
        <w:rPr>
          <w:rStyle w:val="12"/>
          <w:rFonts w:hint="eastAsia" w:ascii="仿宋_GB2312" w:hAnsi="仿宋_GB2312" w:eastAsia="仿宋_GB2312" w:cs="仿宋_GB2312"/>
          <w:bCs/>
          <w:sz w:val="32"/>
          <w:szCs w:val="32"/>
        </w:rPr>
        <w:t>5.医疗卫生与计划生育（类）行政事业单位医疗（款）行政单位医疗（项）:支出决算为28.22万元，完成预算100%</w:t>
      </w:r>
      <w:r>
        <w:rPr>
          <w:rStyle w:val="12"/>
          <w:rFonts w:hint="eastAsia" w:ascii="仿宋_GB2312" w:hAnsi="仿宋_GB2312" w:eastAsia="仿宋_GB2312" w:cs="仿宋_GB2312"/>
          <w:b w:val="0"/>
          <w:bCs/>
          <w:sz w:val="32"/>
          <w:szCs w:val="32"/>
        </w:rPr>
        <w:t>。</w:t>
      </w:r>
    </w:p>
    <w:p w14:paraId="39850E2B">
      <w:pPr>
        <w:ind w:firstLine="643" w:firstLineChars="200"/>
        <w:rPr>
          <w:rFonts w:ascii="仿宋_GB2312" w:hAnsi="仿宋_GB2312" w:eastAsia="仿宋_GB2312" w:cs="仿宋_GB2312"/>
          <w:b/>
          <w:sz w:val="32"/>
          <w:szCs w:val="32"/>
        </w:rPr>
      </w:pPr>
      <w:r>
        <w:rPr>
          <w:rStyle w:val="12"/>
          <w:rFonts w:hint="eastAsia" w:ascii="仿宋_GB2312" w:hAnsi="仿宋_GB2312" w:eastAsia="仿宋_GB2312" w:cs="仿宋_GB2312"/>
          <w:bCs/>
          <w:sz w:val="32"/>
          <w:szCs w:val="32"/>
        </w:rPr>
        <w:t>6.住房保障支出（类）住房改革支出（款）住房公积金（项）:支出决算为46.17万元，完成预算100%。</w:t>
      </w:r>
      <w:r>
        <w:rPr>
          <w:rFonts w:ascii="仿宋_GB2312" w:hAnsi="仿宋_GB2312" w:eastAsia="仿宋_GB2312" w:cs="仿宋_GB2312"/>
          <w:b/>
          <w:sz w:val="32"/>
          <w:szCs w:val="32"/>
        </w:rPr>
        <w:t xml:space="preserve"> </w:t>
      </w:r>
    </w:p>
    <w:p w14:paraId="556DCAFF">
      <w:pPr>
        <w:tabs>
          <w:tab w:val="right" w:pos="8306"/>
        </w:tabs>
        <w:ind w:firstLine="640"/>
        <w:outlineLvl w:val="1"/>
        <w:rPr>
          <w:rStyle w:val="17"/>
          <w:rFonts w:ascii="仿宋_GB2312" w:hAnsi="仿宋_GB2312" w:eastAsia="仿宋_GB2312" w:cs="仿宋_GB2312"/>
        </w:rPr>
      </w:pPr>
      <w:bookmarkStart w:id="3" w:name="_Toc15377214"/>
      <w:bookmarkStart w:id="4" w:name="_Toc15396608"/>
      <w:r>
        <w:rPr>
          <w:rFonts w:hint="eastAsia" w:ascii="仿宋_GB2312" w:hAnsi="仿宋_GB2312" w:eastAsia="仿宋_GB2312" w:cs="仿宋_GB2312"/>
          <w:sz w:val="32"/>
          <w:szCs w:val="32"/>
        </w:rPr>
        <w:t>六</w:t>
      </w:r>
      <w:r>
        <w:rPr>
          <w:rFonts w:hint="eastAsia" w:ascii="仿宋_GB2312" w:hAnsi="仿宋_GB2312" w:eastAsia="仿宋_GB2312" w:cs="仿宋_GB2312"/>
          <w:b/>
          <w:sz w:val="32"/>
          <w:szCs w:val="32"/>
        </w:rPr>
        <w:t>、一</w:t>
      </w:r>
      <w:r>
        <w:rPr>
          <w:rStyle w:val="17"/>
          <w:rFonts w:hint="eastAsia" w:ascii="仿宋_GB2312" w:hAnsi="仿宋_GB2312" w:eastAsia="仿宋_GB2312" w:cs="仿宋_GB2312"/>
        </w:rPr>
        <w:t>般公共预算财政拨款基本支出决算情况说明</w:t>
      </w:r>
      <w:bookmarkEnd w:id="3"/>
      <w:bookmarkEnd w:id="4"/>
      <w:r>
        <w:rPr>
          <w:rStyle w:val="17"/>
          <w:rFonts w:hint="eastAsia" w:ascii="仿宋_GB2312" w:hAnsi="仿宋_GB2312" w:eastAsia="仿宋_GB2312" w:cs="仿宋_GB2312"/>
        </w:rPr>
        <w:tab/>
      </w:r>
    </w:p>
    <w:p w14:paraId="626ED35C">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2018年一般公共预算财政拨款基本支出1166.70万元，其中：</w:t>
      </w:r>
    </w:p>
    <w:p w14:paraId="31D07D02">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人员经费946.78万元，主要包括：基本工资、津贴补贴、奖金、伙食补助费、绩效工资、机关事业单位基本养老保险缴费、职业年金缴费、其他社会保障缴费、其他工资福利支出、离休费、退休费、抚恤金、生活补助、医疗费、奖励金、住房公积金、其他对个人和家庭的补助支出等。</w:t>
      </w:r>
    </w:p>
    <w:p w14:paraId="64D160F2">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公用经费378万元，主要包括：办公费、印刷费、手续费、水费、电费、邮电费、差旅费、维修（护）费、租赁费、会议费、培训费、公务接待费、劳务费、委托业务费、工会经费、福利费、公务用车运行维护费、其他交通费、其他商品和服务支出、办公设备购置、专用设备购置、信息网络及软件购置更新、其他资本性支出等。</w:t>
      </w:r>
    </w:p>
    <w:p w14:paraId="502AC37E">
      <w:pPr>
        <w:ind w:firstLine="640"/>
        <w:outlineLvl w:val="1"/>
        <w:rPr>
          <w:rStyle w:val="17"/>
          <w:rFonts w:ascii="仿宋_GB2312" w:hAnsi="仿宋_GB2312" w:eastAsia="仿宋_GB2312" w:cs="仿宋_GB2312"/>
          <w:b w:val="0"/>
        </w:rPr>
      </w:pPr>
      <w:bookmarkStart w:id="5" w:name="_Toc15396609"/>
      <w:bookmarkStart w:id="6" w:name="_Toc15377215"/>
      <w:r>
        <w:rPr>
          <w:rFonts w:hint="eastAsia" w:ascii="仿宋_GB2312" w:hAnsi="仿宋_GB2312" w:eastAsia="仿宋_GB2312" w:cs="仿宋_GB2312"/>
          <w:sz w:val="32"/>
          <w:szCs w:val="32"/>
        </w:rPr>
        <w:t>七、</w:t>
      </w:r>
      <w:r>
        <w:rPr>
          <w:rStyle w:val="17"/>
          <w:rFonts w:hint="eastAsia" w:ascii="仿宋_GB2312" w:hAnsi="仿宋_GB2312" w:eastAsia="仿宋_GB2312" w:cs="仿宋_GB2312"/>
        </w:rPr>
        <w:t>“三公”经费财政拨款支出决算情况说明</w:t>
      </w:r>
      <w:bookmarkEnd w:id="5"/>
      <w:bookmarkEnd w:id="6"/>
    </w:p>
    <w:p w14:paraId="6F3F69B2">
      <w:pPr>
        <w:ind w:firstLine="640"/>
        <w:outlineLvl w:val="2"/>
        <w:rPr>
          <w:rFonts w:ascii="仿宋_GB2312" w:hAnsi="仿宋_GB2312" w:eastAsia="仿宋_GB2312" w:cs="仿宋_GB2312"/>
          <w:b/>
          <w:sz w:val="32"/>
          <w:szCs w:val="32"/>
        </w:rPr>
      </w:pPr>
      <w:bookmarkStart w:id="7" w:name="_Toc15377216"/>
      <w:r>
        <w:rPr>
          <w:rFonts w:hint="eastAsia" w:ascii="仿宋_GB2312" w:hAnsi="仿宋_GB2312" w:eastAsia="仿宋_GB2312" w:cs="仿宋_GB2312"/>
          <w:b/>
          <w:sz w:val="32"/>
          <w:szCs w:val="32"/>
        </w:rPr>
        <w:t>（一）“三公”经费财政拨款支出决算总体情况说明</w:t>
      </w:r>
      <w:bookmarkEnd w:id="7"/>
    </w:p>
    <w:p w14:paraId="2AF9E361">
      <w:pPr>
        <w:ind w:firstLine="640"/>
        <w:rPr>
          <w:rFonts w:ascii="仿宋_GB2312" w:hAnsi="仿宋_GB2312" w:eastAsia="仿宋_GB2312" w:cs="仿宋_GB2312"/>
          <w:b/>
          <w:sz w:val="32"/>
          <w:szCs w:val="32"/>
        </w:rPr>
      </w:pPr>
      <w:r>
        <w:rPr>
          <w:rFonts w:hint="eastAsia" w:ascii="仿宋_GB2312" w:hAnsi="仿宋_GB2312" w:eastAsia="仿宋_GB2312" w:cs="仿宋_GB2312"/>
          <w:sz w:val="32"/>
          <w:szCs w:val="32"/>
        </w:rPr>
        <w:t>2018年“三公”经费财政拨款支出决算为67.78万元，完成预算100%，决算数预算数持平，主要原因是严格执行预算，厉行节约。</w:t>
      </w:r>
    </w:p>
    <w:p w14:paraId="4DF3A8F8">
      <w:pPr>
        <w:ind w:firstLine="640"/>
        <w:outlineLvl w:val="2"/>
        <w:rPr>
          <w:rFonts w:ascii="仿宋_GB2312" w:hAnsi="仿宋_GB2312" w:eastAsia="仿宋_GB2312" w:cs="仿宋_GB2312"/>
          <w:b/>
          <w:sz w:val="32"/>
          <w:szCs w:val="32"/>
        </w:rPr>
      </w:pPr>
      <w:bookmarkStart w:id="8" w:name="_Toc15377217"/>
      <w:r>
        <w:rPr>
          <w:rFonts w:hint="eastAsia" w:ascii="仿宋_GB2312" w:hAnsi="仿宋_GB2312" w:eastAsia="仿宋_GB2312" w:cs="仿宋_GB2312"/>
          <w:b/>
          <w:sz w:val="32"/>
          <w:szCs w:val="32"/>
        </w:rPr>
        <w:t>（二）“三公”经费财政拨款支出决算具体情况说明</w:t>
      </w:r>
      <w:bookmarkEnd w:id="8"/>
    </w:p>
    <w:p w14:paraId="3A2093CB">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2018年“三公”经费财政拨款支出决算中，因公出国（境）费支出决算0万元，占0%；公务用车购置及运行维护费支出决算59.78万元，占88%；公务接待费支出决算8万元，占12%。具体情况如下：</w:t>
      </w:r>
    </w:p>
    <w:p w14:paraId="66AC44B4">
      <w:pPr>
        <w:ind w:firstLine="640"/>
        <w:rPr>
          <w:rFonts w:ascii="仿宋_GB2312" w:hAnsi="仿宋_GB2312" w:eastAsia="仿宋_GB2312" w:cs="仿宋_GB2312"/>
          <w:sz w:val="32"/>
          <w:szCs w:val="32"/>
        </w:rPr>
      </w:pPr>
    </w:p>
    <w:p w14:paraId="0FEBC8C8">
      <w:pPr>
        <w:ind w:firstLine="640"/>
        <w:rPr>
          <w:rFonts w:ascii="仿宋_GB2312" w:hAnsi="仿宋_GB2312" w:eastAsia="仿宋_GB2312" w:cs="仿宋_GB2312"/>
          <w:sz w:val="32"/>
          <w:szCs w:val="32"/>
        </w:rPr>
      </w:pPr>
      <w:bookmarkStart w:id="37" w:name="_GoBack"/>
      <w:r>
        <w:rPr>
          <w:rFonts w:ascii="仿宋_GB2312" w:hAnsi="仿宋_GB2312" w:eastAsia="仿宋_GB2312" w:cs="仿宋_GB2312"/>
          <w:sz w:val="32"/>
          <w:szCs w:val="32"/>
        </w:rPr>
        <w:drawing>
          <wp:inline distT="0" distB="0" distL="0" distR="0">
            <wp:extent cx="4572000" cy="2743200"/>
            <wp:effectExtent l="19050" t="0" r="1905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37"/>
    </w:p>
    <w:p w14:paraId="29CAF205">
      <w:pPr>
        <w:rPr>
          <w:rFonts w:ascii="仿宋_GB2312" w:hAnsi="仿宋_GB2312" w:eastAsia="仿宋_GB2312" w:cs="仿宋_GB2312"/>
          <w:sz w:val="32"/>
          <w:szCs w:val="32"/>
        </w:rPr>
      </w:pPr>
    </w:p>
    <w:p w14:paraId="3E3D958E">
      <w:pPr>
        <w:numPr>
          <w:ilvl w:val="0"/>
          <w:numId w:val="2"/>
        </w:numPr>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因公出国（境）经费支出0万元，</w:t>
      </w:r>
      <w:r>
        <w:rPr>
          <w:rStyle w:val="12"/>
          <w:rFonts w:hint="eastAsia" w:ascii="仿宋_GB2312" w:hAnsi="仿宋_GB2312" w:eastAsia="仿宋_GB2312" w:cs="仿宋_GB2312"/>
          <w:bCs/>
          <w:sz w:val="32"/>
          <w:szCs w:val="32"/>
        </w:rPr>
        <w:t>完成预算0%。</w:t>
      </w:r>
      <w:r>
        <w:rPr>
          <w:rFonts w:hint="eastAsia" w:ascii="仿宋_GB2312" w:hAnsi="仿宋_GB2312" w:eastAsia="仿宋_GB2312" w:cs="仿宋_GB2312"/>
          <w:bCs/>
          <w:sz w:val="32"/>
          <w:szCs w:val="32"/>
        </w:rPr>
        <w:t>全年安排因公出国（境）团组0次，出国（境）0人。因公出国（境）支出决算和2017年无开支、无变化。</w:t>
      </w:r>
    </w:p>
    <w:p w14:paraId="176DF98C">
      <w:pPr>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2.公务用车购置及运行维护费支出59.78万元,</w:t>
      </w:r>
      <w:r>
        <w:rPr>
          <w:rStyle w:val="12"/>
          <w:rFonts w:hint="eastAsia" w:ascii="仿宋_GB2312" w:hAnsi="仿宋_GB2312" w:eastAsia="仿宋_GB2312" w:cs="仿宋_GB2312"/>
          <w:bCs/>
          <w:sz w:val="32"/>
          <w:szCs w:val="32"/>
        </w:rPr>
        <w:t>完成预算100%。</w:t>
      </w:r>
      <w:r>
        <w:rPr>
          <w:rFonts w:hint="eastAsia" w:ascii="仿宋_GB2312" w:hAnsi="仿宋_GB2312" w:eastAsia="仿宋_GB2312" w:cs="仿宋_GB2312"/>
          <w:bCs/>
          <w:sz w:val="32"/>
          <w:szCs w:val="32"/>
        </w:rPr>
        <w:t>公务用车购置及运行维护费支出决算和2017年比增加，增加原因，因购执行公务车一车辆。</w:t>
      </w:r>
    </w:p>
    <w:p w14:paraId="4D4E4036">
      <w:pPr>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Cs/>
          <w:sz w:val="32"/>
          <w:szCs w:val="32"/>
        </w:rPr>
        <w:t>其中：公务用车购置支出23.56万元。全年按规定更新购置公务用车1辆，其中：轿车0辆、金额0万元，越野车1辆、金额23.56万元，载客汽车0辆、金额0万元.截至2018年12月底，单位共有执法执勤车辆11辆，其中：轿车7辆、越</w:t>
      </w:r>
      <w:r>
        <w:rPr>
          <w:rFonts w:hint="eastAsia" w:ascii="仿宋_GB2312" w:hAnsi="仿宋_GB2312" w:eastAsia="仿宋_GB2312" w:cs="仿宋_GB2312"/>
          <w:sz w:val="32"/>
          <w:szCs w:val="32"/>
        </w:rPr>
        <w:t>野车2辆、小型载客汽车2辆。</w:t>
      </w:r>
    </w:p>
    <w:p w14:paraId="07A8769B">
      <w:pPr>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公务用车运行维护费支出36.22万元。主要用于调查取证派车，巡回审判用车、送达开庭传票、拘传、拘留、执行、法制宣传以及一般公务活动等用车。等所需的公务用车燃料费、维修费、过路过桥费、保险费等支出。</w:t>
      </w:r>
    </w:p>
    <w:p w14:paraId="253E3B64">
      <w:pPr>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3.公务接待费支出8万元，</w:t>
      </w:r>
      <w:r>
        <w:rPr>
          <w:rStyle w:val="12"/>
          <w:rFonts w:hint="eastAsia" w:ascii="仿宋_GB2312" w:hAnsi="仿宋_GB2312" w:eastAsia="仿宋_GB2312" w:cs="仿宋_GB2312"/>
          <w:bCs/>
          <w:sz w:val="32"/>
          <w:szCs w:val="32"/>
        </w:rPr>
        <w:t>完成预算100%。</w:t>
      </w:r>
      <w:r>
        <w:rPr>
          <w:rFonts w:hint="eastAsia" w:ascii="仿宋_GB2312" w:hAnsi="仿宋_GB2312" w:eastAsia="仿宋_GB2312" w:cs="仿宋_GB2312"/>
          <w:bCs/>
          <w:sz w:val="32"/>
          <w:szCs w:val="32"/>
        </w:rPr>
        <w:t>公务接待费支出决算和2017年持平。</w:t>
      </w:r>
    </w:p>
    <w:p w14:paraId="175529B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主要用于执行公务、开展业务活动开支的交通费、住宿费、用餐费等。国内公务接待177批次，1274</w:t>
      </w:r>
      <w:r>
        <w:rPr>
          <w:rFonts w:hint="eastAsia" w:ascii="仿宋_GB2312" w:hAnsi="仿宋_GB2312" w:eastAsia="仿宋_GB2312" w:cs="仿宋_GB2312"/>
          <w:sz w:val="32"/>
          <w:szCs w:val="32"/>
        </w:rPr>
        <w:t>人次（不包括陪同人员），共计支出8万元，具体内容包括：外地以及上级法院到我院刑事案件开庭，接待参与诉讼的法官、书记员、人民陪审员、值庭法警、接待外地法院到我区执行案件、接待其它公务活动开支。其中：</w:t>
      </w:r>
    </w:p>
    <w:p w14:paraId="3B8D786C">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外事接待支出0万元，外事接待0批次，0人，共计支出0元.</w:t>
      </w:r>
    </w:p>
    <w:p w14:paraId="31C70144">
      <w:pPr>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其他国内公务接待支出8万元，主要用于</w:t>
      </w:r>
      <w:r>
        <w:rPr>
          <w:rFonts w:hint="eastAsia" w:ascii="仿宋_GB2312" w:hAnsi="仿宋_GB2312" w:eastAsia="仿宋_GB2312" w:cs="仿宋_GB2312"/>
          <w:sz w:val="32"/>
          <w:szCs w:val="32"/>
        </w:rPr>
        <w:t>外地以及上级法院到我院刑事案件开庭，接待参与诉讼的法官、书记员、人民陪审员、值庭法警、接待外地法院到我区执行案件、接待其它公务活动开支。</w:t>
      </w:r>
    </w:p>
    <w:p w14:paraId="2FAE5DF2">
      <w:pPr>
        <w:ind w:firstLine="640"/>
        <w:outlineLvl w:val="1"/>
        <w:rPr>
          <w:rStyle w:val="17"/>
          <w:rFonts w:ascii="仿宋_GB2312" w:hAnsi="仿宋_GB2312" w:eastAsia="仿宋_GB2312" w:cs="仿宋_GB2312"/>
          <w:b w:val="0"/>
        </w:rPr>
      </w:pPr>
      <w:bookmarkStart w:id="9" w:name="_Toc15396610"/>
      <w:bookmarkStart w:id="10" w:name="_Toc15377218"/>
      <w:r>
        <w:rPr>
          <w:rFonts w:hint="eastAsia" w:ascii="仿宋_GB2312" w:hAnsi="仿宋_GB2312" w:eastAsia="仿宋_GB2312" w:cs="仿宋_GB2312"/>
          <w:bCs/>
          <w:sz w:val="32"/>
          <w:szCs w:val="32"/>
        </w:rPr>
        <w:t>八、</w:t>
      </w:r>
      <w:r>
        <w:rPr>
          <w:rStyle w:val="17"/>
          <w:rFonts w:hint="eastAsia" w:ascii="仿宋_GB2312" w:hAnsi="仿宋_GB2312" w:eastAsia="仿宋_GB2312" w:cs="仿宋_GB2312"/>
        </w:rPr>
        <w:t>政府性基金预算支出决算情况说明</w:t>
      </w:r>
      <w:bookmarkEnd w:id="9"/>
      <w:bookmarkEnd w:id="10"/>
    </w:p>
    <w:p w14:paraId="6E80754A">
      <w:pPr>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2018年政府性基金预算拨款支出0万元。</w:t>
      </w:r>
    </w:p>
    <w:p w14:paraId="23736281">
      <w:pPr>
        <w:numPr>
          <w:ilvl w:val="0"/>
          <w:numId w:val="3"/>
        </w:numPr>
        <w:ind w:firstLine="640"/>
        <w:outlineLvl w:val="1"/>
        <w:rPr>
          <w:rStyle w:val="17"/>
          <w:rFonts w:ascii="仿宋_GB2312" w:hAnsi="仿宋_GB2312" w:eastAsia="仿宋_GB2312" w:cs="仿宋_GB2312"/>
          <w:b w:val="0"/>
        </w:rPr>
      </w:pPr>
      <w:bookmarkStart w:id="11" w:name="_Toc15377219"/>
      <w:bookmarkStart w:id="12" w:name="_Toc15396611"/>
      <w:r>
        <w:rPr>
          <w:rStyle w:val="17"/>
          <w:rFonts w:hint="eastAsia" w:ascii="仿宋_GB2312" w:hAnsi="仿宋_GB2312" w:eastAsia="仿宋_GB2312" w:cs="仿宋_GB2312"/>
        </w:rPr>
        <w:t>国有资本经营预算支出决算情况说明</w:t>
      </w:r>
      <w:bookmarkEnd w:id="11"/>
      <w:bookmarkEnd w:id="12"/>
    </w:p>
    <w:p w14:paraId="6854C50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2018年国有资本经营预算拨款支出0万元。</w:t>
      </w:r>
    </w:p>
    <w:p w14:paraId="40630371">
      <w:pPr>
        <w:ind w:firstLine="640" w:firstLineChars="200"/>
        <w:rPr>
          <w:rFonts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rPr>
        <w:tab/>
      </w:r>
      <w:r>
        <w:rPr>
          <w:rFonts w:hint="eastAsia" w:ascii="仿宋_GB2312" w:eastAsia="仿宋_GB2312"/>
          <w:sz w:val="32"/>
          <w:szCs w:val="32"/>
        </w:rPr>
        <w:t>预算绩效情况说明</w:t>
      </w:r>
    </w:p>
    <w:p w14:paraId="646673C1">
      <w:pPr>
        <w:ind w:firstLine="640" w:firstLineChars="200"/>
        <w:rPr>
          <w:rFonts w:ascii="仿宋_GB2312" w:eastAsia="仿宋_GB2312"/>
          <w:sz w:val="32"/>
          <w:szCs w:val="32"/>
        </w:rPr>
      </w:pPr>
      <w:r>
        <w:rPr>
          <w:rFonts w:hint="eastAsia" w:ascii="仿宋_GB2312" w:eastAsia="仿宋_GB2312"/>
          <w:sz w:val="32"/>
          <w:szCs w:val="32"/>
        </w:rPr>
        <w:t>（一）预算绩效管理工作开展情况。</w:t>
      </w:r>
    </w:p>
    <w:p w14:paraId="4CA8F4E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昭化区人民法院在年初预算编制阶段，组织对业务装备经费项目开展了预算事前绩效评估，对1个项目编制了绩效目标，预算执行过程中，选取1个项目开展绩效监控，年终执行完毕后，对1个项目开展了绩效目标完成情况梳理填报。</w:t>
      </w:r>
    </w:p>
    <w:p w14:paraId="27E45A8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 在今年收支预算内，确保完成以下整体目标：目标1：积极参与维护社会和谐稳定。依法办理刑事案件。</w:t>
      </w:r>
    </w:p>
    <w:p w14:paraId="3FF2152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目标2：依法办理民商事案件，解决人民内部矛盾，为昭化区社会和谐，经济健康发展起到保驾护航作用。</w:t>
      </w:r>
    </w:p>
    <w:p w14:paraId="3AA07F6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目标3：依法办理行政案件，促进昭化区各行政机关依法行政，确实保障行政相对人的合法权益。（简要说明整体绩效情况）。本部门还自行组织了1个项目绩效评价，从评价情况来看加强调解工作可以有效化解社会矛盾，达到案结事了的良好社会效果，而人民陪审员参与庭审的整个过程，可以更大的公开透明的审理案件的过程，增加群众了解案件办理的过程，增加司法公信力。</w:t>
      </w:r>
    </w:p>
    <w:p w14:paraId="366E7DBE">
      <w:pPr>
        <w:tabs>
          <w:tab w:val="left" w:pos="312"/>
        </w:tabs>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项目绩效目标完成情况。</w:t>
      </w:r>
    </w:p>
    <w:p w14:paraId="481B07E1">
      <w:pPr>
        <w:tabs>
          <w:tab w:val="left" w:pos="312"/>
        </w:tabs>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本部门在2018年度部门决算中反映业务装备经费1个项目绩效目标实际完成情况。</w:t>
      </w:r>
    </w:p>
    <w:p w14:paraId="2D4B9053">
      <w:pPr>
        <w:tabs>
          <w:tab w:val="left" w:pos="312"/>
        </w:tabs>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业务装备经费购办公设备，专用设备购置、信息网络及软件购置更新。</w:t>
      </w:r>
    </w:p>
    <w:tbl>
      <w:tblPr>
        <w:tblStyle w:val="10"/>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276570E3">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3CBD1E8F">
            <w:pPr>
              <w:pStyle w:val="18"/>
              <w:widowControl/>
              <w:ind w:left="4015" w:leftChars="1310" w:hanging="1264" w:hangingChars="395"/>
              <w:textAlignment w:val="center"/>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color w:val="000000"/>
                <w:kern w:val="0"/>
                <w:sz w:val="32"/>
                <w:szCs w:val="32"/>
              </w:rPr>
              <w:t>项目支出绩效目标完成情况表</w:t>
            </w:r>
          </w:p>
          <w:p w14:paraId="3B1D4297">
            <w:pPr>
              <w:pStyle w:val="18"/>
              <w:widowControl/>
              <w:ind w:left="4015" w:leftChars="1310" w:hanging="1264" w:hangingChars="395"/>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(2018 年度)</w:t>
            </w:r>
          </w:p>
        </w:tc>
      </w:tr>
      <w:tr w14:paraId="0C5AC6DB">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E567F2">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EB0F6E">
            <w:pPr>
              <w:widowControl/>
              <w:jc w:val="center"/>
              <w:textAlignment w:val="center"/>
              <w:rPr>
                <w:rFonts w:hint="eastAsia" w:ascii="仿宋_GB2312" w:hAnsi="仿宋_GB2312" w:eastAsia="仿宋_GB2312" w:cs="仿宋_GB2312"/>
                <w:color w:val="000000"/>
                <w:sz w:val="28"/>
                <w:szCs w:val="28"/>
              </w:rPr>
            </w:pPr>
            <w:r>
              <w:rPr>
                <w:rFonts w:hint="eastAsia" w:ascii="仿宋_GB2312" w:hAnsi="宋体" w:eastAsia="仿宋_GB2312"/>
                <w:sz w:val="28"/>
                <w:szCs w:val="28"/>
              </w:rPr>
              <w:t>办案业务和业务装备经费</w:t>
            </w:r>
          </w:p>
        </w:tc>
      </w:tr>
      <w:tr w14:paraId="01FE7B4B">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0FD0BF">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F68B84">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昭化区人民法院</w:t>
            </w:r>
          </w:p>
        </w:tc>
      </w:tr>
      <w:tr w14:paraId="11961D6C">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1A4565">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44D084">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906799">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243万元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CE0B3B">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AE9B71">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243万元</w:t>
            </w:r>
          </w:p>
        </w:tc>
      </w:tr>
      <w:tr w14:paraId="5BF3F57C">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4B346FA">
            <w:pPr>
              <w:widowControl/>
              <w:jc w:val="left"/>
              <w:rPr>
                <w:rFonts w:hint="eastAsia" w:ascii="仿宋_GB2312" w:hAnsi="仿宋_GB2312" w:eastAsia="仿宋_GB2312" w:cs="仿宋_GB2312"/>
                <w:color w:val="000000"/>
                <w:sz w:val="28"/>
                <w:szCs w:val="28"/>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B3A749">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F27007">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243万元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65EF95">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5F7E79">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243万元</w:t>
            </w:r>
          </w:p>
        </w:tc>
      </w:tr>
      <w:tr w14:paraId="017DA99F">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648ABEC">
            <w:pPr>
              <w:widowControl/>
              <w:jc w:val="left"/>
              <w:rPr>
                <w:rFonts w:hint="eastAsia" w:ascii="仿宋_GB2312" w:hAnsi="仿宋_GB2312" w:eastAsia="仿宋_GB2312" w:cs="仿宋_GB2312"/>
                <w:color w:val="000000"/>
                <w:sz w:val="28"/>
                <w:szCs w:val="28"/>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4C7BB8">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3D5B42">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735A3E">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91E7D4">
            <w:pPr>
              <w:jc w:val="center"/>
              <w:rPr>
                <w:rFonts w:hint="eastAsia" w:ascii="仿宋_GB2312" w:hAnsi="仿宋_GB2312" w:eastAsia="仿宋_GB2312" w:cs="仿宋_GB2312"/>
                <w:color w:val="000000"/>
                <w:sz w:val="28"/>
                <w:szCs w:val="28"/>
              </w:rPr>
            </w:pPr>
          </w:p>
        </w:tc>
      </w:tr>
      <w:tr w14:paraId="0C101FDF">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FBEFF0">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D6BF09">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3E442D">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实际完成目标</w:t>
            </w:r>
          </w:p>
        </w:tc>
      </w:tr>
      <w:tr w14:paraId="6545B38D">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D63B077">
            <w:pPr>
              <w:widowControl/>
              <w:jc w:val="left"/>
              <w:rPr>
                <w:rFonts w:hint="eastAsia" w:ascii="仿宋_GB2312" w:hAnsi="仿宋_GB2312" w:eastAsia="仿宋_GB2312" w:cs="仿宋_GB2312"/>
                <w:color w:val="000000"/>
                <w:sz w:val="28"/>
                <w:szCs w:val="28"/>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E38302">
            <w:pPr>
              <w:widowControl/>
              <w:jc w:val="left"/>
              <w:textAlignment w:val="center"/>
              <w:rPr>
                <w:rFonts w:hint="eastAsia" w:ascii="仿宋_GB2312" w:hAnsi="仿宋_GB2312" w:eastAsia="仿宋_GB2312" w:cs="仿宋_GB2312"/>
                <w:color w:val="000000"/>
                <w:sz w:val="28"/>
                <w:szCs w:val="28"/>
              </w:rPr>
            </w:pPr>
            <w:r>
              <w:rPr>
                <w:rFonts w:hint="eastAsia" w:ascii="仿宋_GB2312" w:hAnsi="宋体" w:eastAsia="仿宋_GB2312"/>
                <w:sz w:val="28"/>
                <w:szCs w:val="28"/>
              </w:rPr>
              <w:t>办案业务和业务装备经费</w:t>
            </w:r>
            <w:r>
              <w:rPr>
                <w:rFonts w:hint="eastAsia" w:ascii="仿宋_GB2312" w:hAnsi="宋体" w:eastAsia="仿宋_GB2312"/>
                <w:sz w:val="28"/>
                <w:szCs w:val="28"/>
                <w:lang w:val="zh-CN"/>
              </w:rPr>
              <w:t>车辆运行维护费、差旅费、资料费、办案装备、办案车辆等；支付依据是否合规合法，资金支付与预算相符</w:t>
            </w:r>
            <w:r>
              <w:rPr>
                <w:rFonts w:hint="eastAsia" w:ascii="仿宋_GB2312" w:eastAsia="仿宋_GB2312"/>
                <w:sz w:val="28"/>
                <w:szCs w:val="28"/>
              </w:rPr>
              <w:t>创新工作方法，积极回应社会关切，满足人民群众对司法的新需求。依法高效审理各类涉民生案件，加大涉民生案件执行力度，切实维护弱势群体合法权益。不断加快“智慧法院”建设，加大案件庭审直播力度，增加当事人和社会各界了解法院的渠道。</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5641B308">
            <w:pPr>
              <w:spacing w:before="100" w:beforeAutospacing="1" w:line="550" w:lineRule="exact"/>
              <w:ind w:firstLine="560" w:firstLineChars="200"/>
              <w:rPr>
                <w:rFonts w:hint="eastAsia" w:ascii="仿宋_GB2312" w:eastAsia="仿宋_GB2312"/>
                <w:bCs/>
                <w:color w:val="000000"/>
                <w:sz w:val="28"/>
                <w:szCs w:val="28"/>
              </w:rPr>
            </w:pPr>
            <w:r>
              <w:rPr>
                <w:rFonts w:hint="eastAsia" w:ascii="仿宋_GB2312" w:hAnsi="宋体" w:eastAsia="仿宋_GB2312"/>
                <w:sz w:val="28"/>
                <w:szCs w:val="28"/>
                <w:lang w:val="zh-CN"/>
              </w:rPr>
              <w:t>截止</w:t>
            </w:r>
            <w:r>
              <w:rPr>
                <w:rFonts w:hint="eastAsia" w:ascii="仿宋_GB2312" w:hAnsi="宋体" w:eastAsia="仿宋_GB2312"/>
                <w:sz w:val="28"/>
                <w:szCs w:val="28"/>
              </w:rPr>
              <w:t>2018年12月31日</w:t>
            </w:r>
            <w:r>
              <w:rPr>
                <w:rFonts w:hint="eastAsia" w:ascii="仿宋_GB2312" w:hAnsi="宋体" w:eastAsia="仿宋_GB2312"/>
                <w:sz w:val="28"/>
                <w:szCs w:val="28"/>
                <w:lang w:val="zh-CN"/>
              </w:rPr>
              <w:t>实际完成额</w:t>
            </w:r>
            <w:r>
              <w:rPr>
                <w:rFonts w:hint="eastAsia" w:ascii="仿宋_GB2312" w:hAnsi="宋体" w:eastAsia="仿宋_GB2312"/>
                <w:sz w:val="28"/>
                <w:szCs w:val="28"/>
              </w:rPr>
              <w:t>243万元，并全部完成绩效目标</w:t>
            </w:r>
            <w:r>
              <w:rPr>
                <w:rFonts w:hint="eastAsia" w:ascii="仿宋_GB2312" w:hAnsi="宋体" w:eastAsia="仿宋_GB2312"/>
                <w:sz w:val="28"/>
                <w:szCs w:val="28"/>
                <w:lang w:val="zh-CN"/>
              </w:rPr>
              <w:t>。</w:t>
            </w:r>
            <w:r>
              <w:rPr>
                <w:rFonts w:hint="eastAsia" w:ascii="仿宋_GB2312" w:eastAsia="仿宋_GB2312"/>
                <w:bCs/>
                <w:color w:val="000000"/>
                <w:sz w:val="28"/>
                <w:szCs w:val="28"/>
              </w:rPr>
              <w:t>全年共受理各类案件2686件，结案2589件，同比分别上升26.05%、24.11%。刑事犯罪。受理刑事案件65件，审结55件，判处罪犯87人。民商事纠纷。受理民商事案件1656件，审结1605件。2件案例入选广元市维护妇女儿童合法权益十大优秀案例，家事审判改革被市法院表彰为先进集体。依法行政。受理行政案件12件，审结11件。审查非诉行政执行案件6件，结案6件。执行案件。共受理执行案件947件，结案912件，到位标的1.6亿元。执行局被市法院荣记集体三等功。</w:t>
            </w:r>
          </w:p>
          <w:p w14:paraId="2CFC6966">
            <w:pPr>
              <w:widowControl/>
              <w:textAlignment w:val="center"/>
              <w:rPr>
                <w:rFonts w:hint="eastAsia" w:ascii="仿宋_GB2312" w:hAnsi="仿宋_GB2312" w:eastAsia="仿宋_GB2312" w:cs="仿宋_GB2312"/>
                <w:color w:val="000000"/>
                <w:sz w:val="28"/>
                <w:szCs w:val="28"/>
              </w:rPr>
            </w:pPr>
            <w:r>
              <w:rPr>
                <w:rFonts w:hint="eastAsia" w:ascii="仿宋_GB2312" w:eastAsia="仿宋_GB2312"/>
                <w:sz w:val="28"/>
                <w:szCs w:val="28"/>
              </w:rPr>
              <w:t>加快“智慧法院”建设，加大案件庭审直播力度，增加当事人和社会各界了解法院的渠道。</w:t>
            </w:r>
          </w:p>
        </w:tc>
      </w:tr>
      <w:tr w14:paraId="71D509FB">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B3C5EB">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D6E56C">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DABAF1">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8EB003">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581F2C">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EB5F1A">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实际完成指标值(包含数字及文字描述)</w:t>
            </w:r>
          </w:p>
        </w:tc>
      </w:tr>
      <w:tr w14:paraId="0B147905">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B8C30D9">
            <w:pPr>
              <w:widowControl/>
              <w:jc w:val="left"/>
              <w:rPr>
                <w:rFonts w:hint="eastAsia" w:ascii="仿宋_GB2312" w:hAnsi="仿宋_GB2312" w:eastAsia="仿宋_GB2312" w:cs="仿宋_GB2312"/>
                <w:color w:val="000000"/>
                <w:sz w:val="28"/>
                <w:szCs w:val="2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7811CF">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9FC1D8">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6DB6A8">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完成2018年保障水平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A57D31">
            <w:pPr>
              <w:widowControl/>
              <w:jc w:val="left"/>
              <w:textAlignment w:val="center"/>
              <w:rPr>
                <w:rFonts w:hint="eastAsia" w:ascii="仿宋_GB2312" w:hAnsi="仿宋_GB2312" w:eastAsia="仿宋_GB2312" w:cs="仿宋_GB2312"/>
                <w:color w:val="000000"/>
                <w:sz w:val="28"/>
                <w:szCs w:val="28"/>
              </w:rPr>
            </w:pPr>
            <w:r>
              <w:rPr>
                <w:rFonts w:hint="eastAsia" w:ascii="仿宋_GB2312" w:eastAsia="仿宋_GB2312"/>
                <w:sz w:val="28"/>
                <w:szCs w:val="28"/>
              </w:rPr>
              <w:t>加快“智慧法院”建设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42FE7F">
            <w:pPr>
              <w:widowControl/>
              <w:jc w:val="left"/>
              <w:textAlignment w:val="center"/>
              <w:rPr>
                <w:rFonts w:hint="eastAsia" w:ascii="仿宋_GB2312" w:hAnsi="仿宋_GB2312" w:eastAsia="仿宋_GB2312" w:cs="仿宋_GB2312"/>
                <w:color w:val="000000"/>
                <w:sz w:val="28"/>
                <w:szCs w:val="28"/>
              </w:rPr>
            </w:pPr>
            <w:r>
              <w:rPr>
                <w:rFonts w:hint="eastAsia" w:ascii="仿宋_GB2312" w:eastAsia="仿宋_GB2312"/>
                <w:sz w:val="28"/>
                <w:szCs w:val="28"/>
              </w:rPr>
              <w:t>加快“智慧法院”建设，加大案件庭审直播力度</w:t>
            </w:r>
          </w:p>
        </w:tc>
      </w:tr>
      <w:tr w14:paraId="1FE9A04B">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0580F65">
            <w:pPr>
              <w:widowControl/>
              <w:jc w:val="left"/>
              <w:rPr>
                <w:rFonts w:hint="eastAsia" w:ascii="仿宋_GB2312" w:hAnsi="仿宋_GB2312" w:eastAsia="仿宋_GB2312" w:cs="仿宋_GB2312"/>
                <w:color w:val="000000"/>
                <w:sz w:val="28"/>
                <w:szCs w:val="2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43A021">
            <w:pPr>
              <w:widowControl/>
              <w:jc w:val="center"/>
              <w:textAlignment w:val="center"/>
              <w:rPr>
                <w:rFonts w:hint="eastAsia" w:ascii="仿宋_GB2312" w:hAnsi="仿宋_GB2312" w:eastAsia="仿宋_GB2312" w:cs="仿宋_GB2312"/>
                <w:color w:val="000000"/>
                <w:sz w:val="28"/>
                <w:szCs w:val="28"/>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8DBB72">
            <w:pPr>
              <w:widowControl/>
              <w:jc w:val="center"/>
              <w:textAlignment w:val="center"/>
              <w:rPr>
                <w:rFonts w:hint="eastAsia" w:ascii="仿宋_GB2312" w:hAnsi="仿宋_GB2312" w:eastAsia="仿宋_GB2312" w:cs="仿宋_GB2312"/>
                <w:color w:val="000000"/>
                <w:sz w:val="28"/>
                <w:szCs w:val="2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24A66E">
            <w:pPr>
              <w:widowControl/>
              <w:jc w:val="center"/>
              <w:textAlignment w:val="center"/>
              <w:rPr>
                <w:rFonts w:hint="eastAsia" w:ascii="仿宋_GB2312" w:hAnsi="仿宋_GB2312" w:eastAsia="仿宋_GB2312" w:cs="仿宋_GB2312"/>
                <w:color w:val="000000"/>
                <w:sz w:val="28"/>
                <w:szCs w:val="2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584E47">
            <w:pPr>
              <w:widowControl/>
              <w:jc w:val="center"/>
              <w:textAlignment w:val="center"/>
              <w:rPr>
                <w:rFonts w:hint="eastAsia" w:ascii="仿宋_GB2312" w:hAnsi="仿宋_GB2312" w:eastAsia="仿宋_GB2312" w:cs="仿宋_GB2312"/>
                <w:color w:val="000000"/>
                <w:sz w:val="28"/>
                <w:szCs w:val="2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4C87B1">
            <w:pPr>
              <w:widowControl/>
              <w:jc w:val="center"/>
              <w:textAlignment w:val="center"/>
              <w:rPr>
                <w:rFonts w:hint="eastAsia" w:ascii="仿宋_GB2312" w:hAnsi="仿宋_GB2312" w:eastAsia="仿宋_GB2312" w:cs="仿宋_GB2312"/>
                <w:color w:val="000000"/>
                <w:sz w:val="28"/>
                <w:szCs w:val="28"/>
              </w:rPr>
            </w:pPr>
          </w:p>
        </w:tc>
      </w:tr>
      <w:tr w14:paraId="043C5739">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7CD9E7C">
            <w:pPr>
              <w:widowControl/>
              <w:jc w:val="left"/>
              <w:rPr>
                <w:rFonts w:hint="eastAsia" w:ascii="仿宋_GB2312" w:hAnsi="仿宋_GB2312" w:eastAsia="仿宋_GB2312" w:cs="仿宋_GB2312"/>
                <w:color w:val="000000"/>
                <w:sz w:val="28"/>
                <w:szCs w:val="2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0224F2">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54D078">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社会效益</w:t>
            </w:r>
          </w:p>
          <w:p w14:paraId="4F6E65A0">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B12592">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诉讼服务提档升级</w:t>
            </w:r>
          </w:p>
          <w:p w14:paraId="31C36B0B">
            <w:pPr>
              <w:widowControl/>
              <w:jc w:val="center"/>
              <w:textAlignment w:val="center"/>
              <w:rPr>
                <w:rFonts w:hint="eastAsia" w:ascii="仿宋_GB2312" w:hAnsi="仿宋_GB2312" w:eastAsia="仿宋_GB2312" w:cs="仿宋_GB2312"/>
                <w:color w:val="000000"/>
                <w:sz w:val="28"/>
                <w:szCs w:val="2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0324AF">
            <w:pPr>
              <w:widowControl/>
              <w:jc w:val="center"/>
              <w:textAlignment w:val="center"/>
              <w:rPr>
                <w:rFonts w:hint="eastAsia" w:ascii="仿宋_GB2312" w:hAnsi="仿宋_GB2312" w:eastAsia="仿宋_GB2312" w:cs="仿宋_GB2312"/>
                <w:color w:val="000000"/>
                <w:sz w:val="28"/>
                <w:szCs w:val="28"/>
              </w:rPr>
            </w:pPr>
            <w:r>
              <w:rPr>
                <w:rFonts w:hint="eastAsia" w:ascii="仿宋_GB2312" w:eastAsia="仿宋_GB2312"/>
                <w:sz w:val="28"/>
                <w:szCs w:val="28"/>
              </w:rPr>
              <w:t>加快“智慧法院”建设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10CF4B">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≥2000件</w:t>
            </w:r>
          </w:p>
          <w:p w14:paraId="73FA7EE7">
            <w:pPr>
              <w:widowControl/>
              <w:jc w:val="center"/>
              <w:textAlignment w:val="center"/>
              <w:rPr>
                <w:rFonts w:hint="eastAsia" w:ascii="仿宋_GB2312" w:hAnsi="仿宋_GB2312" w:eastAsia="仿宋_GB2312" w:cs="仿宋_GB2312"/>
                <w:color w:val="000000"/>
                <w:sz w:val="28"/>
                <w:szCs w:val="28"/>
              </w:rPr>
            </w:pPr>
          </w:p>
        </w:tc>
      </w:tr>
      <w:tr w14:paraId="447BB437">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1D4B17D">
            <w:pPr>
              <w:widowControl/>
              <w:jc w:val="left"/>
              <w:rPr>
                <w:rFonts w:hint="eastAsia" w:ascii="仿宋_GB2312" w:hAnsi="仿宋_GB2312" w:eastAsia="仿宋_GB2312" w:cs="仿宋_GB2312"/>
                <w:color w:val="000000"/>
                <w:sz w:val="28"/>
                <w:szCs w:val="2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044C71">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1B6649">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可持续影响</w:t>
            </w:r>
          </w:p>
          <w:p w14:paraId="24E86720">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EBE110">
            <w:pPr>
              <w:widowControl/>
              <w:jc w:val="left"/>
              <w:textAlignment w:val="center"/>
              <w:rPr>
                <w:rFonts w:hint="eastAsia" w:ascii="仿宋_GB2312" w:hAnsi="仿宋_GB2312" w:eastAsia="仿宋_GB2312" w:cs="仿宋_GB2312"/>
                <w:color w:val="000000"/>
                <w:sz w:val="28"/>
                <w:szCs w:val="28"/>
              </w:rPr>
            </w:pPr>
            <w:r>
              <w:rPr>
                <w:rFonts w:hint="eastAsia" w:ascii="仿宋_GB2312" w:eastAsia="仿宋_GB2312"/>
                <w:sz w:val="28"/>
                <w:szCs w:val="28"/>
              </w:rPr>
              <w:t>“智慧法院”建设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164560">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4B4A40">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≥5年</w:t>
            </w:r>
          </w:p>
        </w:tc>
      </w:tr>
      <w:tr w14:paraId="45F94A5E">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38F8253">
            <w:pPr>
              <w:widowControl/>
              <w:jc w:val="left"/>
              <w:rPr>
                <w:rFonts w:hint="eastAsia" w:ascii="仿宋_GB2312" w:hAnsi="仿宋_GB2312" w:eastAsia="仿宋_GB2312" w:cs="仿宋_GB2312"/>
                <w:color w:val="000000"/>
                <w:sz w:val="28"/>
                <w:szCs w:val="2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A33C0C">
            <w:pPr>
              <w:widowControl/>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0D6116">
            <w:pPr>
              <w:widowControl/>
              <w:jc w:val="center"/>
              <w:textAlignment w:val="center"/>
              <w:rPr>
                <w:rFonts w:hint="eastAsia" w:ascii="仿宋_GB2312" w:hAnsi="仿宋_GB2312" w:eastAsia="仿宋_GB2312" w:cs="仿宋_GB2312"/>
                <w:color w:val="000000"/>
                <w:sz w:val="28"/>
                <w:szCs w:val="2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390FA9">
            <w:pPr>
              <w:widowControl/>
              <w:jc w:val="center"/>
              <w:textAlignment w:val="center"/>
              <w:rPr>
                <w:rFonts w:hint="eastAsia" w:ascii="仿宋_GB2312" w:hAnsi="仿宋_GB2312" w:eastAsia="仿宋_GB2312" w:cs="仿宋_GB2312"/>
                <w:color w:val="000000"/>
                <w:sz w:val="28"/>
                <w:szCs w:val="2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97BB3C">
            <w:pPr>
              <w:widowControl/>
              <w:jc w:val="center"/>
              <w:textAlignment w:val="center"/>
              <w:rPr>
                <w:rFonts w:hint="eastAsia" w:ascii="仿宋_GB2312" w:hAnsi="仿宋_GB2312" w:eastAsia="仿宋_GB2312" w:cs="仿宋_GB2312"/>
                <w:color w:val="000000"/>
                <w:sz w:val="28"/>
                <w:szCs w:val="2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6B17EE">
            <w:pPr>
              <w:widowControl/>
              <w:jc w:val="center"/>
              <w:textAlignment w:val="center"/>
              <w:rPr>
                <w:rFonts w:hint="eastAsia" w:ascii="仿宋_GB2312" w:hAnsi="仿宋_GB2312" w:eastAsia="仿宋_GB2312" w:cs="仿宋_GB2312"/>
                <w:color w:val="000000"/>
                <w:sz w:val="28"/>
                <w:szCs w:val="28"/>
              </w:rPr>
            </w:pPr>
          </w:p>
        </w:tc>
      </w:tr>
      <w:tr w14:paraId="138DA2F3">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3B1DC8C">
            <w:pPr>
              <w:widowControl/>
              <w:jc w:val="left"/>
              <w:rPr>
                <w:rFonts w:hint="eastAsia" w:ascii="仿宋_GB2312" w:hAnsi="仿宋_GB2312" w:eastAsia="仿宋_GB2312" w:cs="仿宋_GB2312"/>
                <w:color w:val="000000"/>
                <w:sz w:val="28"/>
                <w:szCs w:val="2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8BA6C8">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DD557C">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社会群众满意度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DCDD34">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社会群众满意度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D6C9F5">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EE98B7">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≥90%</w:t>
            </w:r>
          </w:p>
        </w:tc>
      </w:tr>
    </w:tbl>
    <w:p w14:paraId="357E0AC6">
      <w:pPr>
        <w:rPr>
          <w:rFonts w:hint="eastAsia" w:ascii="仿宋_GB2312" w:hAnsi="仿宋_GB2312" w:eastAsia="仿宋_GB2312" w:cs="仿宋_GB2312"/>
          <w:sz w:val="28"/>
          <w:szCs w:val="28"/>
        </w:rPr>
      </w:pPr>
    </w:p>
    <w:p w14:paraId="5CAB94E8">
      <w:pPr>
        <w:numPr>
          <w:ilvl w:val="0"/>
          <w:numId w:val="4"/>
        </w:num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部门开展绩效评价结果。</w:t>
      </w:r>
    </w:p>
    <w:p w14:paraId="412A594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本部门按要求对2018年部门整体支出绩效评价情况开展自评，《昭化区人民法院2018年部门整体支出绩效评价报告》见附件。</w:t>
      </w:r>
    </w:p>
    <w:p w14:paraId="55E4969C">
      <w:pPr>
        <w:ind w:firstLine="640" w:firstLineChars="200"/>
        <w:rPr>
          <w:rFonts w:hint="eastAsia" w:ascii="仿宋_GB2312" w:hAnsi="仿宋_GB2312" w:eastAsia="仿宋_GB2312" w:cs="仿宋_GB2312"/>
          <w:sz w:val="32"/>
          <w:szCs w:val="32"/>
        </w:rPr>
      </w:pPr>
    </w:p>
    <w:p w14:paraId="64EF9443">
      <w:pPr>
        <w:ind w:firstLine="640" w:firstLineChars="200"/>
        <w:rPr>
          <w:rFonts w:hint="eastAsia" w:ascii="仿宋_GB2312" w:hAnsi="仿宋_GB2312" w:eastAsia="仿宋_GB2312" w:cs="仿宋_GB2312"/>
          <w:sz w:val="32"/>
          <w:szCs w:val="32"/>
        </w:rPr>
      </w:pPr>
    </w:p>
    <w:p w14:paraId="5ADF41EA">
      <w:pPr>
        <w:ind w:firstLine="640" w:firstLineChars="200"/>
        <w:rPr>
          <w:rFonts w:hint="eastAsia" w:ascii="仿宋_GB2312" w:hAnsi="仿宋_GB2312" w:eastAsia="仿宋_GB2312" w:cs="仿宋_GB2312"/>
          <w:sz w:val="32"/>
          <w:szCs w:val="32"/>
        </w:rPr>
      </w:pPr>
    </w:p>
    <w:p w14:paraId="7A97DEA4">
      <w:pPr>
        <w:ind w:firstLine="640" w:firstLineChars="200"/>
        <w:rPr>
          <w:rFonts w:hint="eastAsia" w:ascii="仿宋_GB2312" w:hAnsi="仿宋_GB2312" w:eastAsia="仿宋_GB2312" w:cs="仿宋_GB2312"/>
          <w:sz w:val="32"/>
          <w:szCs w:val="32"/>
        </w:rPr>
      </w:pPr>
    </w:p>
    <w:p w14:paraId="26079EF8">
      <w:pPr>
        <w:ind w:firstLine="640" w:firstLineChars="200"/>
        <w:rPr>
          <w:rFonts w:hint="eastAsia" w:ascii="仿宋_GB2312" w:hAnsi="仿宋_GB2312" w:eastAsia="仿宋_GB2312" w:cs="仿宋_GB2312"/>
          <w:sz w:val="32"/>
          <w:szCs w:val="32"/>
        </w:rPr>
      </w:pPr>
    </w:p>
    <w:p w14:paraId="2A445E2B">
      <w:pPr>
        <w:pStyle w:val="25"/>
        <w:spacing w:line="560" w:lineRule="exact"/>
        <w:jc w:val="center"/>
        <w:rPr>
          <w:rFonts w:hint="eastAsia" w:ascii="仿宋_GB2312" w:hAnsi="宋体" w:eastAsia="仿宋_GB2312"/>
          <w:b/>
          <w:sz w:val="36"/>
          <w:szCs w:val="36"/>
        </w:rPr>
      </w:pPr>
      <w:r>
        <w:rPr>
          <w:rFonts w:hint="eastAsia" w:ascii="仿宋_GB2312" w:hAnsi="宋体" w:eastAsia="仿宋_GB2312"/>
          <w:b/>
          <w:sz w:val="36"/>
          <w:szCs w:val="36"/>
        </w:rPr>
        <w:t>广元市昭化区人民法院</w:t>
      </w:r>
    </w:p>
    <w:p w14:paraId="10D07256">
      <w:pPr>
        <w:pStyle w:val="25"/>
        <w:spacing w:line="560" w:lineRule="exact"/>
        <w:jc w:val="center"/>
        <w:rPr>
          <w:rFonts w:hint="eastAsia" w:ascii="仿宋_GB2312" w:hAnsi="宋体" w:eastAsia="仿宋_GB2312"/>
          <w:color w:val="auto"/>
          <w:kern w:val="2"/>
          <w:sz w:val="36"/>
          <w:szCs w:val="36"/>
        </w:rPr>
      </w:pPr>
      <w:r>
        <w:rPr>
          <w:rFonts w:hint="eastAsia" w:ascii="仿宋_GB2312" w:hAnsi="宋体" w:eastAsia="仿宋_GB2312"/>
          <w:b/>
          <w:sz w:val="36"/>
          <w:szCs w:val="36"/>
        </w:rPr>
        <w:t>项目支出绩效评价自评报告</w:t>
      </w:r>
    </w:p>
    <w:p w14:paraId="6352B6AD">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（办案业务和业务装备经费）</w:t>
      </w:r>
    </w:p>
    <w:p w14:paraId="13E5CAA7">
      <w:pPr>
        <w:pStyle w:val="25"/>
        <w:spacing w:line="240" w:lineRule="auto"/>
        <w:jc w:val="center"/>
        <w:rPr>
          <w:rFonts w:hint="eastAsia" w:ascii="仿宋_GB2312" w:hAnsi="宋体" w:eastAsia="仿宋_GB2312"/>
          <w:color w:val="auto"/>
          <w:kern w:val="2"/>
          <w:sz w:val="32"/>
          <w:szCs w:val="32"/>
        </w:rPr>
      </w:pPr>
    </w:p>
    <w:p w14:paraId="16C0FB01">
      <w:pPr>
        <w:adjustRightInd w:val="0"/>
        <w:snapToGrid w:val="0"/>
        <w:spacing w:line="560" w:lineRule="exact"/>
        <w:ind w:firstLine="720"/>
        <w:rPr>
          <w:rFonts w:hint="eastAsia" w:ascii="仿宋_GB2312" w:hAnsi="宋体" w:eastAsia="仿宋_GB2312"/>
          <w:sz w:val="32"/>
          <w:szCs w:val="32"/>
          <w:lang w:val="zh-CN"/>
        </w:rPr>
      </w:pPr>
      <w:r>
        <w:rPr>
          <w:rFonts w:hint="eastAsia" w:ascii="仿宋_GB2312" w:hAnsi="宋体" w:eastAsia="仿宋_GB2312"/>
          <w:sz w:val="32"/>
          <w:szCs w:val="32"/>
        </w:rPr>
        <w:t>一、</w:t>
      </w:r>
      <w:r>
        <w:rPr>
          <w:rFonts w:hint="eastAsia" w:ascii="仿宋_GB2312" w:hAnsi="宋体" w:eastAsia="仿宋_GB2312"/>
          <w:sz w:val="32"/>
          <w:szCs w:val="32"/>
          <w:lang w:val="zh-CN"/>
        </w:rPr>
        <w:t>项目概况</w:t>
      </w:r>
    </w:p>
    <w:p w14:paraId="2219861F">
      <w:pPr>
        <w:adjustRightInd w:val="0"/>
        <w:snapToGrid w:val="0"/>
        <w:spacing w:line="560" w:lineRule="exact"/>
        <w:ind w:firstLine="720"/>
        <w:rPr>
          <w:rFonts w:hint="eastAsia" w:ascii="仿宋_GB2312" w:hAnsi="仿宋" w:eastAsia="仿宋_GB2312" w:cs="仿宋"/>
          <w:bCs/>
          <w:sz w:val="32"/>
          <w:szCs w:val="32"/>
        </w:rPr>
      </w:pPr>
      <w:r>
        <w:rPr>
          <w:rFonts w:hint="eastAsia" w:ascii="仿宋_GB2312" w:hAnsi="宋体" w:eastAsia="仿宋_GB2312"/>
          <w:b/>
          <w:sz w:val="32"/>
          <w:szCs w:val="32"/>
          <w:lang w:val="zh-CN"/>
        </w:rPr>
        <w:t>（一）项目资金申报及批复情况。</w:t>
      </w:r>
      <w:r>
        <w:rPr>
          <w:rFonts w:hint="eastAsia" w:ascii="仿宋_GB2312" w:hAnsi="宋体" w:eastAsia="仿宋_GB2312"/>
          <w:sz w:val="32"/>
          <w:szCs w:val="32"/>
        </w:rPr>
        <w:t>办案业务和业务装备经费</w:t>
      </w:r>
      <w:r>
        <w:rPr>
          <w:rFonts w:hint="eastAsia" w:ascii="仿宋_GB2312" w:hAnsi="仿宋" w:eastAsia="仿宋_GB2312" w:cs="仿宋"/>
          <w:bCs/>
          <w:sz w:val="32"/>
          <w:szCs w:val="32"/>
          <w:lang w:val="zh-CN"/>
        </w:rPr>
        <w:t>项目于</w:t>
      </w:r>
      <w:r>
        <w:rPr>
          <w:rFonts w:hint="eastAsia" w:ascii="仿宋_GB2312" w:hAnsi="仿宋" w:eastAsia="仿宋_GB2312" w:cs="仿宋"/>
          <w:bCs/>
          <w:sz w:val="32"/>
          <w:szCs w:val="32"/>
        </w:rPr>
        <w:t>2018年年初通过预算申报，由财政预算下达指标，共计243万元。</w:t>
      </w:r>
    </w:p>
    <w:p w14:paraId="1B0E4D4D">
      <w:pPr>
        <w:adjustRightInd w:val="0"/>
        <w:snapToGrid w:val="0"/>
        <w:spacing w:line="560" w:lineRule="exact"/>
        <w:ind w:firstLine="720"/>
        <w:rPr>
          <w:rFonts w:hint="eastAsia" w:ascii="仿宋_GB2312" w:hAnsi="仿宋" w:eastAsia="仿宋_GB2312" w:cs="仿宋"/>
          <w:bCs/>
          <w:sz w:val="32"/>
          <w:szCs w:val="32"/>
          <w:lang w:val="zh-CN"/>
        </w:rPr>
      </w:pPr>
      <w:r>
        <w:rPr>
          <w:rFonts w:hint="eastAsia" w:ascii="仿宋_GB2312" w:hAnsi="宋体" w:eastAsia="仿宋_GB2312"/>
          <w:b/>
          <w:sz w:val="32"/>
          <w:szCs w:val="32"/>
          <w:lang w:val="zh-CN"/>
        </w:rPr>
        <w:t>（二）项目绩效目标。</w:t>
      </w:r>
      <w:r>
        <w:rPr>
          <w:rFonts w:hint="eastAsia" w:ascii="仿宋_GB2312" w:hAnsi="宋体" w:eastAsia="仿宋_GB2312"/>
          <w:sz w:val="32"/>
          <w:szCs w:val="32"/>
        </w:rPr>
        <w:t>办案业务和业务装备经费</w:t>
      </w:r>
      <w:r>
        <w:rPr>
          <w:rFonts w:hint="eastAsia" w:ascii="仿宋_GB2312" w:hAnsi="仿宋" w:eastAsia="仿宋_GB2312" w:cs="仿宋"/>
          <w:bCs/>
          <w:sz w:val="32"/>
          <w:szCs w:val="32"/>
          <w:lang w:val="zh-CN"/>
        </w:rPr>
        <w:t>主要用于法院办理各类案件所需的经费开支，用于案件审判、案件执行。</w:t>
      </w:r>
    </w:p>
    <w:p w14:paraId="526AB7FA">
      <w:pPr>
        <w:adjustRightInd w:val="0"/>
        <w:snapToGrid w:val="0"/>
        <w:spacing w:line="560" w:lineRule="exact"/>
        <w:ind w:firstLine="720"/>
        <w:rPr>
          <w:rFonts w:hint="eastAsia" w:ascii="仿宋_GB2312" w:hAnsi="宋体" w:eastAsia="仿宋_GB2312"/>
          <w:sz w:val="32"/>
          <w:szCs w:val="32"/>
          <w:lang w:val="zh-CN"/>
        </w:rPr>
      </w:pPr>
      <w:r>
        <w:rPr>
          <w:rFonts w:hint="eastAsia" w:ascii="仿宋_GB2312" w:hAnsi="宋体" w:eastAsia="仿宋_GB2312"/>
          <w:b/>
          <w:sz w:val="32"/>
          <w:szCs w:val="32"/>
          <w:lang w:val="zh-CN"/>
        </w:rPr>
        <w:t>（三）项目资金申报相符性。</w:t>
      </w:r>
      <w:r>
        <w:rPr>
          <w:rFonts w:hint="eastAsia" w:ascii="仿宋_GB2312" w:hAnsi="宋体" w:eastAsia="仿宋_GB2312"/>
          <w:sz w:val="32"/>
          <w:szCs w:val="32"/>
          <w:lang w:val="zh-CN"/>
        </w:rPr>
        <w:t>项目申报内容与具体实施内容相符、申报目标合理可行。</w:t>
      </w:r>
    </w:p>
    <w:p w14:paraId="65FDA154">
      <w:pPr>
        <w:adjustRightInd w:val="0"/>
        <w:snapToGrid w:val="0"/>
        <w:spacing w:line="560" w:lineRule="exact"/>
        <w:ind w:firstLine="720"/>
        <w:rPr>
          <w:rFonts w:hint="eastAsia" w:ascii="仿宋_GB2312" w:hAnsi="宋体" w:eastAsia="仿宋_GB2312"/>
          <w:sz w:val="32"/>
          <w:szCs w:val="32"/>
        </w:rPr>
      </w:pPr>
      <w:r>
        <w:rPr>
          <w:rFonts w:hint="eastAsia" w:ascii="仿宋_GB2312" w:hAnsi="宋体" w:eastAsia="仿宋_GB2312"/>
          <w:sz w:val="32"/>
          <w:szCs w:val="32"/>
        </w:rPr>
        <w:t>二、项目实施及管理情况</w:t>
      </w:r>
    </w:p>
    <w:p w14:paraId="6ACF8A78">
      <w:pPr>
        <w:adjustRightInd w:val="0"/>
        <w:snapToGrid w:val="0"/>
        <w:spacing w:line="560" w:lineRule="exact"/>
        <w:ind w:firstLine="720"/>
        <w:rPr>
          <w:rFonts w:hint="eastAsia" w:ascii="仿宋_GB2312" w:hAnsi="宋体" w:eastAsia="仿宋_GB2312"/>
          <w:b/>
          <w:sz w:val="32"/>
          <w:szCs w:val="32"/>
          <w:lang w:val="zh-CN"/>
        </w:rPr>
      </w:pPr>
      <w:r>
        <w:rPr>
          <w:rFonts w:hint="eastAsia" w:ascii="仿宋_GB2312" w:hAnsi="宋体" w:eastAsia="仿宋_GB2312"/>
          <w:sz w:val="32"/>
          <w:szCs w:val="32"/>
          <w:lang w:val="zh-CN"/>
        </w:rPr>
        <w:tab/>
      </w:r>
      <w:r>
        <w:rPr>
          <w:rFonts w:hint="eastAsia" w:ascii="仿宋_GB2312" w:hAnsi="宋体" w:eastAsia="仿宋_GB2312"/>
          <w:b/>
          <w:sz w:val="32"/>
          <w:szCs w:val="32"/>
          <w:lang w:val="zh-CN"/>
        </w:rPr>
        <w:t>（一）资金计划、到位及使用情况</w:t>
      </w:r>
    </w:p>
    <w:p w14:paraId="5647EFA4">
      <w:pPr>
        <w:adjustRightInd w:val="0"/>
        <w:snapToGrid w:val="0"/>
        <w:spacing w:line="560" w:lineRule="exact"/>
        <w:ind w:firstLine="720"/>
        <w:rPr>
          <w:rFonts w:hint="eastAsia" w:ascii="仿宋_GB2312" w:hAnsi="宋体" w:eastAsia="仿宋_GB2312"/>
          <w:sz w:val="32"/>
          <w:szCs w:val="32"/>
          <w:lang w:val="zh-CN"/>
        </w:rPr>
      </w:pPr>
      <w:r>
        <w:rPr>
          <w:rFonts w:hint="eastAsia" w:ascii="仿宋_GB2312" w:hAnsi="宋体" w:eastAsia="仿宋_GB2312"/>
          <w:b/>
          <w:sz w:val="32"/>
          <w:szCs w:val="32"/>
          <w:lang w:val="zh-CN"/>
        </w:rPr>
        <w:t>1、资金计划及到位。</w:t>
      </w:r>
      <w:r>
        <w:rPr>
          <w:rFonts w:hint="eastAsia" w:ascii="仿宋_GB2312" w:hAnsi="宋体" w:eastAsia="仿宋_GB2312"/>
          <w:sz w:val="32"/>
          <w:szCs w:val="32"/>
        </w:rPr>
        <w:t>办案业务和业务装备经费</w:t>
      </w:r>
      <w:r>
        <w:rPr>
          <w:rFonts w:hint="eastAsia" w:ascii="仿宋_GB2312" w:hAnsi="宋体" w:eastAsia="仿宋_GB2312"/>
          <w:bCs/>
          <w:sz w:val="32"/>
          <w:szCs w:val="32"/>
          <w:lang w:val="zh-CN"/>
        </w:rPr>
        <w:t>于</w:t>
      </w:r>
      <w:r>
        <w:rPr>
          <w:rFonts w:hint="eastAsia" w:ascii="仿宋_GB2312" w:hAnsi="宋体" w:eastAsia="仿宋_GB2312"/>
          <w:bCs/>
          <w:sz w:val="32"/>
          <w:szCs w:val="32"/>
        </w:rPr>
        <w:t>2018年全部及时到位，到位率100%，全部由区财政全额预算</w:t>
      </w:r>
      <w:r>
        <w:rPr>
          <w:rFonts w:hint="eastAsia" w:ascii="仿宋_GB2312" w:hAnsi="宋体" w:eastAsia="仿宋_GB2312"/>
          <w:bCs/>
          <w:sz w:val="32"/>
          <w:szCs w:val="32"/>
          <w:lang w:val="zh-CN"/>
        </w:rPr>
        <w:t>。</w:t>
      </w:r>
    </w:p>
    <w:p w14:paraId="223661E0">
      <w:pPr>
        <w:adjustRightInd w:val="0"/>
        <w:snapToGrid w:val="0"/>
        <w:spacing w:line="560" w:lineRule="exact"/>
        <w:ind w:firstLine="720"/>
        <w:rPr>
          <w:rFonts w:hint="eastAsia" w:ascii="仿宋_GB2312" w:hAnsi="宋体" w:eastAsia="仿宋_GB2312"/>
          <w:sz w:val="32"/>
          <w:szCs w:val="32"/>
          <w:lang w:val="zh-CN"/>
        </w:rPr>
      </w:pPr>
      <w:r>
        <w:rPr>
          <w:rFonts w:hint="eastAsia" w:ascii="仿宋_GB2312" w:hAnsi="宋体" w:eastAsia="仿宋_GB2312"/>
          <w:b/>
          <w:sz w:val="32"/>
          <w:szCs w:val="32"/>
          <w:lang w:val="zh-CN"/>
        </w:rPr>
        <w:t>2、资金使用。</w:t>
      </w:r>
      <w:r>
        <w:rPr>
          <w:rFonts w:hint="eastAsia" w:ascii="仿宋_GB2312" w:hAnsi="宋体" w:eastAsia="仿宋_GB2312"/>
          <w:sz w:val="32"/>
          <w:szCs w:val="32"/>
        </w:rPr>
        <w:t>办案业务和业务装备经费</w:t>
      </w:r>
      <w:r>
        <w:rPr>
          <w:rFonts w:hint="eastAsia" w:ascii="仿宋_GB2312" w:hAnsi="宋体" w:eastAsia="仿宋_GB2312"/>
          <w:bCs/>
          <w:sz w:val="32"/>
          <w:szCs w:val="32"/>
        </w:rPr>
        <w:t>实际支出243万元</w:t>
      </w:r>
      <w:r>
        <w:rPr>
          <w:rFonts w:hint="eastAsia" w:ascii="仿宋_GB2312" w:hAnsi="宋体" w:eastAsia="仿宋_GB2312"/>
          <w:b/>
          <w:sz w:val="32"/>
          <w:szCs w:val="32"/>
        </w:rPr>
        <w:t>；</w:t>
      </w:r>
      <w:r>
        <w:rPr>
          <w:rFonts w:hint="eastAsia" w:ascii="仿宋_GB2312" w:hAnsi="宋体" w:eastAsia="仿宋_GB2312"/>
          <w:sz w:val="32"/>
          <w:szCs w:val="32"/>
          <w:lang w:val="zh-CN"/>
        </w:rPr>
        <w:t>资金开支范围：车辆运行维护费、差旅费、资料费、办案装备、办案车辆等；支付依据是否合规合法，资金支付与预算相符。</w:t>
      </w:r>
    </w:p>
    <w:p w14:paraId="7280DDC3">
      <w:pPr>
        <w:adjustRightInd w:val="0"/>
        <w:snapToGrid w:val="0"/>
        <w:spacing w:line="560" w:lineRule="exact"/>
        <w:ind w:firstLine="720"/>
        <w:rPr>
          <w:rFonts w:hint="eastAsia" w:ascii="仿宋_GB2312" w:hAnsi="宋体" w:eastAsia="仿宋_GB2312"/>
          <w:b/>
          <w:sz w:val="32"/>
          <w:szCs w:val="32"/>
          <w:lang w:val="zh-CN"/>
        </w:rPr>
      </w:pPr>
      <w:r>
        <w:rPr>
          <w:rFonts w:hint="eastAsia" w:ascii="仿宋_GB2312" w:hAnsi="宋体" w:eastAsia="仿宋_GB2312"/>
          <w:b/>
          <w:sz w:val="32"/>
          <w:szCs w:val="32"/>
          <w:lang w:val="zh-CN"/>
        </w:rPr>
        <w:t>（二）项目财务管理情况</w:t>
      </w:r>
    </w:p>
    <w:p w14:paraId="6B3B2C18">
      <w:pPr>
        <w:adjustRightInd w:val="0"/>
        <w:snapToGrid w:val="0"/>
        <w:spacing w:line="56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项目财务管理制度执行法院财务管理制度，未设置项目管理机构，会计核算及账务处理统一纳入法院管理核算。对照项目资金管理办法，项目严格执行了财务管理制度、财务处理及时、会计核算规范。</w:t>
      </w:r>
    </w:p>
    <w:p w14:paraId="6CD651F7">
      <w:pPr>
        <w:adjustRightInd w:val="0"/>
        <w:snapToGrid w:val="0"/>
        <w:spacing w:line="560" w:lineRule="exact"/>
        <w:ind w:firstLine="720"/>
        <w:rPr>
          <w:rFonts w:hint="eastAsia" w:ascii="仿宋_GB2312" w:hAnsi="宋体" w:eastAsia="仿宋_GB2312"/>
          <w:sz w:val="32"/>
          <w:szCs w:val="32"/>
          <w:lang w:val="zh-CN"/>
        </w:rPr>
      </w:pPr>
      <w:r>
        <w:rPr>
          <w:rFonts w:hint="eastAsia" w:ascii="仿宋_GB2312" w:hAnsi="宋体" w:eastAsia="仿宋_GB2312"/>
          <w:sz w:val="32"/>
          <w:szCs w:val="32"/>
        </w:rPr>
        <w:t>三、目标完成情况</w:t>
      </w:r>
      <w:r>
        <w:rPr>
          <w:rFonts w:hint="eastAsia" w:ascii="仿宋_GB2312" w:hAnsi="宋体" w:eastAsia="仿宋_GB2312"/>
          <w:sz w:val="32"/>
          <w:szCs w:val="32"/>
          <w:lang w:val="zh-CN"/>
        </w:rPr>
        <w:tab/>
      </w:r>
    </w:p>
    <w:p w14:paraId="08D2FC8A">
      <w:pPr>
        <w:spacing w:line="550" w:lineRule="exact"/>
        <w:ind w:firstLine="640" w:firstLineChars="200"/>
        <w:rPr>
          <w:rFonts w:hint="eastAsia" w:ascii="仿宋_GB2312" w:eastAsia="仿宋_GB2312"/>
          <w:bCs/>
          <w:color w:val="000000"/>
          <w:sz w:val="32"/>
          <w:szCs w:val="32"/>
        </w:rPr>
      </w:pPr>
      <w:r>
        <w:rPr>
          <w:rFonts w:hint="eastAsia" w:ascii="仿宋_GB2312" w:hAnsi="宋体" w:eastAsia="仿宋_GB2312"/>
          <w:sz w:val="32"/>
          <w:szCs w:val="32"/>
          <w:lang w:val="zh-CN"/>
        </w:rPr>
        <w:t>截止</w:t>
      </w:r>
      <w:r>
        <w:rPr>
          <w:rFonts w:hint="eastAsia" w:ascii="仿宋_GB2312" w:hAnsi="宋体" w:eastAsia="仿宋_GB2312"/>
          <w:sz w:val="32"/>
          <w:szCs w:val="32"/>
        </w:rPr>
        <w:t>2018年12月31日</w:t>
      </w:r>
      <w:r>
        <w:rPr>
          <w:rFonts w:hint="eastAsia" w:ascii="仿宋_GB2312" w:hAnsi="宋体" w:eastAsia="仿宋_GB2312"/>
          <w:sz w:val="32"/>
          <w:szCs w:val="32"/>
          <w:lang w:val="zh-CN"/>
        </w:rPr>
        <w:t>实际完成额</w:t>
      </w:r>
      <w:r>
        <w:rPr>
          <w:rFonts w:hint="eastAsia" w:ascii="仿宋_GB2312" w:hAnsi="宋体" w:eastAsia="仿宋_GB2312"/>
          <w:sz w:val="32"/>
          <w:szCs w:val="32"/>
        </w:rPr>
        <w:t>243万元，并全部完成绩效目标</w:t>
      </w:r>
      <w:r>
        <w:rPr>
          <w:rFonts w:hint="eastAsia" w:ascii="仿宋_GB2312" w:hAnsi="宋体" w:eastAsia="仿宋_GB2312"/>
          <w:sz w:val="32"/>
          <w:szCs w:val="32"/>
          <w:lang w:val="zh-CN"/>
        </w:rPr>
        <w:t>。</w:t>
      </w:r>
      <w:r>
        <w:rPr>
          <w:rFonts w:hint="eastAsia" w:ascii="仿宋_GB2312" w:eastAsia="仿宋_GB2312"/>
          <w:bCs/>
          <w:color w:val="000000"/>
          <w:sz w:val="32"/>
          <w:szCs w:val="32"/>
        </w:rPr>
        <w:t>全年共受理各类案件2686件，结案2589件，同比分别上升26.05%、24.11%。刑事犯罪。受理刑事案件65件，审结55件，判处罪犯87人。民商事纠纷。受理民商事案件1656件，审结1605件。2件案例入选广元市维护妇女儿童合法权益十大优秀案例，家事审判改革被市法院表彰为先进集体。依法行政。受理行政案件12件，审结11件。审查非诉行政执行案件6件，结案6件。执行案件。共受理执行案件947件，结案912件，到位标的1.6亿元。执行局被市法院荣记集体三等功。</w:t>
      </w:r>
    </w:p>
    <w:p w14:paraId="45CE979E">
      <w:pPr>
        <w:adjustRightInd w:val="0"/>
        <w:snapToGrid w:val="0"/>
        <w:spacing w:line="560" w:lineRule="exact"/>
        <w:ind w:firstLine="720"/>
        <w:rPr>
          <w:rFonts w:hint="eastAsia" w:ascii="仿宋_GB2312" w:hAnsi="宋体" w:eastAsia="仿宋_GB2312"/>
          <w:sz w:val="32"/>
          <w:szCs w:val="32"/>
        </w:rPr>
      </w:pPr>
      <w:r>
        <w:rPr>
          <w:rFonts w:hint="eastAsia" w:ascii="仿宋_GB2312" w:hAnsi="宋体" w:eastAsia="仿宋_GB2312"/>
          <w:sz w:val="32"/>
          <w:szCs w:val="32"/>
        </w:rPr>
        <w:t>四、项目效益情况</w:t>
      </w:r>
    </w:p>
    <w:p w14:paraId="5A1292B0">
      <w:pPr>
        <w:spacing w:line="55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通过上级资金支持，切实解决了人员经费、业务装备等实际困难，充分保障了我院执法办案工作开展，为昭化经济社会健康发展提供了强有力的支撑。</w:t>
      </w:r>
    </w:p>
    <w:p w14:paraId="6C9B1612">
      <w:pPr>
        <w:spacing w:line="550" w:lineRule="exact"/>
        <w:ind w:firstLine="640" w:firstLineChars="200"/>
        <w:rPr>
          <w:rFonts w:hint="eastAsia" w:ascii="仿宋_GB2312" w:eastAsia="仿宋_GB2312"/>
          <w:bCs/>
          <w:color w:val="000000"/>
          <w:sz w:val="32"/>
          <w:szCs w:val="32"/>
        </w:rPr>
      </w:pPr>
      <w:r>
        <w:rPr>
          <w:rFonts w:hint="eastAsia" w:ascii="仿宋_GB2312" w:hAnsi="宋体" w:eastAsia="仿宋_GB2312"/>
          <w:sz w:val="32"/>
          <w:szCs w:val="32"/>
        </w:rPr>
        <w:t>五、建议</w:t>
      </w:r>
    </w:p>
    <w:p w14:paraId="23331BE0">
      <w:pPr>
        <w:adjustRightInd w:val="0"/>
        <w:snapToGrid w:val="0"/>
        <w:spacing w:line="560" w:lineRule="exact"/>
        <w:ind w:firstLine="720"/>
        <w:rPr>
          <w:rFonts w:ascii="仿宋_GB2312" w:hAnsi="宋体" w:eastAsia="仿宋_GB2312"/>
          <w:b/>
          <w:sz w:val="32"/>
          <w:szCs w:val="32"/>
          <w:lang w:val="zh-CN"/>
        </w:rPr>
      </w:pPr>
      <w:r>
        <w:rPr>
          <w:rFonts w:hint="eastAsia" w:ascii="仿宋_GB2312" w:hAnsi="仿宋" w:eastAsia="仿宋_GB2312" w:cs="仿宋"/>
          <w:bCs/>
          <w:sz w:val="32"/>
          <w:szCs w:val="32"/>
          <w:lang w:val="zh-CN"/>
        </w:rPr>
        <w:t>业务办案经费</w:t>
      </w:r>
      <w:r>
        <w:rPr>
          <w:rFonts w:hint="eastAsia" w:ascii="仿宋_GB2312" w:hAnsi="宋体" w:eastAsia="仿宋_GB2312"/>
          <w:sz w:val="32"/>
          <w:szCs w:val="32"/>
          <w:lang w:val="zh-CN"/>
        </w:rPr>
        <w:t>，建议政府财政给予相关政策性支持，并适当增加项目经费。</w:t>
      </w:r>
    </w:p>
    <w:p w14:paraId="19CE0051">
      <w:pPr>
        <w:ind w:firstLine="800" w:firstLineChars="250"/>
        <w:outlineLvl w:val="1"/>
        <w:rPr>
          <w:rStyle w:val="17"/>
          <w:rFonts w:ascii="仿宋_GB2312" w:hAnsi="仿宋_GB2312" w:eastAsia="仿宋_GB2312" w:cs="仿宋_GB2312"/>
        </w:rPr>
      </w:pPr>
      <w:bookmarkStart w:id="13" w:name="_Toc15396612"/>
      <w:bookmarkStart w:id="14" w:name="_Toc15377221"/>
      <w:r>
        <w:rPr>
          <w:rFonts w:hint="eastAsia" w:ascii="仿宋_GB2312" w:hAnsi="仿宋_GB2312" w:eastAsia="仿宋_GB2312" w:cs="仿宋_GB2312"/>
          <w:color w:val="000000"/>
          <w:sz w:val="32"/>
          <w:szCs w:val="32"/>
        </w:rPr>
        <w:t>十</w:t>
      </w:r>
      <w:r>
        <w:rPr>
          <w:rStyle w:val="17"/>
          <w:rFonts w:hint="eastAsia" w:ascii="仿宋_GB2312" w:hAnsi="仿宋_GB2312" w:eastAsia="仿宋_GB2312" w:cs="仿宋_GB2312"/>
        </w:rPr>
        <w:t>一、其他重要事项的情况说明</w:t>
      </w:r>
      <w:bookmarkEnd w:id="13"/>
      <w:bookmarkEnd w:id="14"/>
    </w:p>
    <w:p w14:paraId="48B17345">
      <w:pPr>
        <w:ind w:firstLine="643" w:firstLineChars="200"/>
        <w:outlineLvl w:val="2"/>
        <w:rPr>
          <w:rFonts w:ascii="仿宋_GB2312" w:hAnsi="仿宋_GB2312" w:eastAsia="仿宋_GB2312" w:cs="仿宋_GB2312"/>
          <w:color w:val="000000"/>
          <w:sz w:val="32"/>
          <w:szCs w:val="32"/>
        </w:rPr>
      </w:pPr>
      <w:bookmarkStart w:id="15" w:name="_Toc15377222"/>
      <w:r>
        <w:rPr>
          <w:rFonts w:hint="eastAsia" w:ascii="仿宋_GB2312" w:hAnsi="仿宋_GB2312" w:eastAsia="仿宋_GB2312" w:cs="仿宋_GB2312"/>
          <w:b/>
          <w:color w:val="000000"/>
          <w:sz w:val="32"/>
          <w:szCs w:val="32"/>
        </w:rPr>
        <w:t>（一）机关运行经费支出情况</w:t>
      </w:r>
      <w:bookmarkEnd w:id="15"/>
    </w:p>
    <w:p w14:paraId="55A86B38">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2018年，</w:t>
      </w:r>
      <w:r>
        <w:rPr>
          <w:rFonts w:hint="eastAsia" w:ascii="仿宋_GB2312" w:hAnsi="仿宋_GB2312" w:eastAsia="仿宋_GB2312" w:cs="仿宋_GB2312"/>
          <w:sz w:val="32"/>
          <w:szCs w:val="32"/>
        </w:rPr>
        <w:t>昭化区</w:t>
      </w:r>
      <w:r>
        <w:rPr>
          <w:rFonts w:hint="eastAsia" w:ascii="仿宋_GB2312" w:hAnsi="仿宋_GB2312" w:eastAsia="仿宋_GB2312" w:cs="仿宋_GB2312"/>
          <w:color w:val="000000"/>
          <w:sz w:val="32"/>
          <w:szCs w:val="32"/>
        </w:rPr>
        <w:t>人民法院机关运行经费支出1166.7万元，比2017年增加37.77万元，增长5%）。</w:t>
      </w:r>
      <w:r>
        <w:rPr>
          <w:rFonts w:hint="eastAsia" w:ascii="仿宋_GB2312" w:hAnsi="仿宋_GB2312" w:eastAsia="仿宋_GB2312" w:cs="仿宋_GB2312"/>
          <w:color w:val="000000" w:themeColor="text1"/>
          <w:sz w:val="32"/>
          <w:szCs w:val="32"/>
          <w14:textFill>
            <w14:solidFill>
              <w14:schemeClr w14:val="tx1"/>
            </w14:solidFill>
          </w14:textFill>
        </w:rPr>
        <w:t>主要原因是物价上涨，业务量增大，所需办公费、印刷费、邮电费、差旅费等相应增加。</w:t>
      </w:r>
    </w:p>
    <w:p w14:paraId="2AD7932E">
      <w:pPr>
        <w:autoSpaceDE w:val="0"/>
        <w:autoSpaceDN w:val="0"/>
        <w:adjustRightInd w:val="0"/>
        <w:ind w:firstLine="643" w:firstLineChars="200"/>
        <w:jc w:val="left"/>
        <w:outlineLvl w:val="2"/>
        <w:rPr>
          <w:rFonts w:ascii="仿宋_GB2312" w:hAnsi="仿宋_GB2312" w:eastAsia="仿宋_GB2312" w:cs="仿宋_GB2312"/>
          <w:b/>
          <w:color w:val="000000"/>
          <w:sz w:val="32"/>
          <w:szCs w:val="32"/>
        </w:rPr>
      </w:pPr>
      <w:bookmarkStart w:id="16" w:name="_Toc15377223"/>
      <w:r>
        <w:rPr>
          <w:rFonts w:hint="eastAsia" w:ascii="仿宋_GB2312" w:hAnsi="仿宋_GB2312" w:eastAsia="仿宋_GB2312" w:cs="仿宋_GB2312"/>
          <w:b/>
          <w:color w:val="000000"/>
          <w:sz w:val="32"/>
          <w:szCs w:val="32"/>
        </w:rPr>
        <w:t>（二）政府采购支出情况</w:t>
      </w:r>
      <w:bookmarkEnd w:id="16"/>
    </w:p>
    <w:p w14:paraId="57243EBC">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w:t>
      </w:r>
      <w:r>
        <w:rPr>
          <w:rFonts w:hint="eastAsia" w:ascii="仿宋_GB2312" w:hAnsi="仿宋_GB2312" w:eastAsia="仿宋_GB2312" w:cs="仿宋_GB2312"/>
          <w:sz w:val="32"/>
          <w:szCs w:val="32"/>
        </w:rPr>
        <w:t>昭化区</w:t>
      </w:r>
      <w:r>
        <w:rPr>
          <w:rFonts w:hint="eastAsia" w:ascii="仿宋_GB2312" w:hAnsi="仿宋_GB2312" w:eastAsia="仿宋_GB2312" w:cs="仿宋_GB2312"/>
          <w:color w:val="000000"/>
          <w:sz w:val="32"/>
          <w:szCs w:val="32"/>
        </w:rPr>
        <w:t>人民法院政府采购支出总额36.52万元，其中：政府采购货物支出36.52万元、政府采购工程支出0万元、政府采购服务支出0万元。主要用于采购办公办案设备36.52万元，采购信息网络及软件购置更新0万元</w:t>
      </w:r>
    </w:p>
    <w:p w14:paraId="118DA074">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。授予中小企业合同金额0万元，占政府采购支出总额的100%，其中：授予小微企业合同金额0万元，占政府采购支出总额的0%。</w:t>
      </w:r>
    </w:p>
    <w:p w14:paraId="1B7628A5">
      <w:pPr>
        <w:autoSpaceDE w:val="0"/>
        <w:autoSpaceDN w:val="0"/>
        <w:adjustRightInd w:val="0"/>
        <w:ind w:firstLine="643" w:firstLineChars="200"/>
        <w:jc w:val="left"/>
        <w:outlineLvl w:val="2"/>
        <w:rPr>
          <w:rFonts w:ascii="仿宋_GB2312" w:hAnsi="仿宋_GB2312" w:eastAsia="仿宋_GB2312" w:cs="仿宋_GB2312"/>
          <w:b/>
          <w:color w:val="000000"/>
          <w:sz w:val="32"/>
          <w:szCs w:val="32"/>
        </w:rPr>
      </w:pPr>
      <w:bookmarkStart w:id="17" w:name="_Toc15377224"/>
      <w:r>
        <w:rPr>
          <w:rFonts w:hint="eastAsia" w:ascii="仿宋_GB2312" w:hAnsi="仿宋_GB2312" w:eastAsia="仿宋_GB2312" w:cs="仿宋_GB2312"/>
          <w:b/>
          <w:color w:val="000000"/>
          <w:sz w:val="32"/>
          <w:szCs w:val="32"/>
        </w:rPr>
        <w:t>（三）国有资产占有使用情况</w:t>
      </w:r>
      <w:bookmarkEnd w:id="17"/>
    </w:p>
    <w:p w14:paraId="18C48028">
      <w:pPr>
        <w:autoSpaceDE w:val="0"/>
        <w:autoSpaceDN w:val="0"/>
        <w:adjustRightInd w:val="0"/>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截至2018年12月31日，</w:t>
      </w:r>
      <w:r>
        <w:rPr>
          <w:rFonts w:hint="eastAsia" w:ascii="仿宋_GB2312" w:hAnsi="仿宋_GB2312" w:eastAsia="仿宋_GB2312" w:cs="仿宋_GB2312"/>
          <w:sz w:val="32"/>
          <w:szCs w:val="32"/>
        </w:rPr>
        <w:t>昭化区</w:t>
      </w:r>
      <w:r>
        <w:rPr>
          <w:rFonts w:hint="eastAsia" w:ascii="仿宋_GB2312" w:hAnsi="仿宋_GB2312" w:eastAsia="仿宋_GB2312" w:cs="仿宋_GB2312"/>
          <w:color w:val="000000"/>
          <w:sz w:val="32"/>
          <w:szCs w:val="32"/>
        </w:rPr>
        <w:t>人民法院共有车辆11辆，其中：部级领导干部用车0辆、一般公务用车0辆、一般执法执勤用车9辆、特种专业技术用车2辆、其他用车0辆.</w:t>
      </w:r>
      <w:r>
        <w:rPr>
          <w:rFonts w:hint="eastAsia" w:ascii="仿宋_GB2312" w:hAnsi="仿宋_GB2312" w:eastAsia="仿宋_GB2312" w:cs="仿宋_GB2312"/>
          <w:color w:val="000000" w:themeColor="text1"/>
          <w:sz w:val="32"/>
          <w:szCs w:val="32"/>
          <w14:textFill>
            <w14:solidFill>
              <w14:schemeClr w14:val="tx1"/>
            </w14:solidFill>
          </w14:textFill>
        </w:rPr>
        <w:t>单价50万元以上通用设备0台（套），单价100</w:t>
      </w:r>
      <w:r>
        <w:rPr>
          <w:rFonts w:hint="eastAsia" w:ascii="仿宋_GB2312" w:hAnsi="仿宋_GB2312" w:eastAsia="仿宋_GB2312" w:cs="仿宋_GB2312"/>
          <w:color w:val="000000"/>
          <w:sz w:val="32"/>
          <w:szCs w:val="32"/>
        </w:rPr>
        <w:t>万元以上专用设备0台（套）。</w:t>
      </w:r>
    </w:p>
    <w:p w14:paraId="60E4B888">
      <w:pPr>
        <w:autoSpaceDE w:val="0"/>
        <w:autoSpaceDN w:val="0"/>
        <w:adjustRightInd w:val="0"/>
        <w:ind w:firstLine="640" w:firstLineChars="200"/>
        <w:jc w:val="left"/>
        <w:rPr>
          <w:rFonts w:ascii="仿宋_GB2312" w:hAnsi="仿宋_GB2312" w:eastAsia="仿宋_GB2312" w:cs="仿宋_GB2312"/>
          <w:color w:val="000000"/>
          <w:sz w:val="32"/>
          <w:szCs w:val="32"/>
        </w:rPr>
      </w:pPr>
    </w:p>
    <w:p w14:paraId="76015A21">
      <w:pPr>
        <w:numPr>
          <w:ilvl w:val="0"/>
          <w:numId w:val="5"/>
        </w:numPr>
        <w:spacing w:line="600" w:lineRule="exact"/>
        <w:ind w:firstLine="663" w:firstLineChars="150"/>
        <w:jc w:val="center"/>
        <w:outlineLvl w:val="0"/>
        <w:rPr>
          <w:rStyle w:val="19"/>
          <w:rFonts w:ascii="黑体" w:hAnsi="黑体" w:eastAsia="黑体"/>
        </w:rPr>
      </w:pPr>
      <w:bookmarkStart w:id="18" w:name="_Toc15377225"/>
      <w:bookmarkStart w:id="19" w:name="_Toc15396613"/>
      <w:r>
        <w:rPr>
          <w:rFonts w:hint="eastAsia" w:ascii="黑体" w:hAnsi="黑体" w:eastAsia="黑体"/>
          <w:b/>
          <w:color w:val="000000"/>
          <w:sz w:val="44"/>
          <w:szCs w:val="44"/>
        </w:rPr>
        <w:t>名</w:t>
      </w:r>
      <w:r>
        <w:rPr>
          <w:rStyle w:val="19"/>
          <w:rFonts w:hint="eastAsia" w:ascii="黑体" w:hAnsi="黑体" w:eastAsia="黑体"/>
        </w:rPr>
        <w:t>词解释</w:t>
      </w:r>
      <w:bookmarkEnd w:id="18"/>
      <w:bookmarkEnd w:id="19"/>
    </w:p>
    <w:p w14:paraId="0887BAA6">
      <w:pPr>
        <w:spacing w:line="600" w:lineRule="exact"/>
        <w:jc w:val="left"/>
        <w:rPr>
          <w:rFonts w:ascii="宋体"/>
          <w:b/>
          <w:color w:val="000000"/>
          <w:sz w:val="44"/>
          <w:szCs w:val="44"/>
        </w:rPr>
      </w:pPr>
    </w:p>
    <w:p w14:paraId="59E0E9BE">
      <w:pPr>
        <w:pStyle w:val="20"/>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2A4B1F79">
      <w:pPr>
        <w:pStyle w:val="20"/>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4DD5F0DB">
      <w:pPr>
        <w:pStyle w:val="20"/>
        <w:spacing w:line="560" w:lineRule="exact"/>
        <w:ind w:firstLine="640" w:firstLineChars="200"/>
        <w:rPr>
          <w:rFonts w:ascii="仿宋_GB2312" w:eastAsia="仿宋_GB2312"/>
          <w:sz w:val="32"/>
          <w:szCs w:val="32"/>
        </w:rPr>
      </w:pPr>
      <w:r>
        <w:rPr>
          <w:rFonts w:hint="eastAsia" w:ascii="仿宋_GB2312" w:eastAsia="仿宋_GB2312"/>
          <w:sz w:val="32"/>
          <w:szCs w:val="32"/>
        </w:rPr>
        <w:t>4、年末结转和结余：指单位按有关规定结转到下年或以后年度继续使用的资金。</w:t>
      </w:r>
    </w:p>
    <w:p w14:paraId="06215E56">
      <w:pPr>
        <w:ind w:firstLine="640" w:firstLineChars="200"/>
        <w:rPr>
          <w:rFonts w:ascii="仿宋_GB2312" w:eastAsia="仿宋_GB2312"/>
          <w:color w:val="000000"/>
          <w:sz w:val="32"/>
          <w:szCs w:val="32"/>
        </w:rPr>
      </w:pPr>
      <w:r>
        <w:rPr>
          <w:rFonts w:hint="eastAsia" w:ascii="仿宋_GB2312" w:eastAsia="仿宋_GB2312"/>
          <w:color w:val="000000"/>
          <w:sz w:val="32"/>
          <w:szCs w:val="32"/>
        </w:rPr>
        <w:t>5</w:t>
      </w:r>
      <w:r>
        <w:rPr>
          <w:rFonts w:ascii="仿宋_GB2312" w:eastAsia="仿宋_GB2312"/>
          <w:color w:val="000000"/>
          <w:sz w:val="32"/>
          <w:szCs w:val="32"/>
        </w:rPr>
        <w:t>.</w:t>
      </w:r>
      <w:r>
        <w:rPr>
          <w:rFonts w:hint="eastAsia" w:ascii="仿宋_GB2312" w:eastAsia="仿宋_GB2312"/>
          <w:color w:val="000000"/>
          <w:sz w:val="32"/>
          <w:szCs w:val="32"/>
        </w:rPr>
        <w:t>公共安全（类）法院（款）行政运行（项）：指法院机关的基本支出。</w:t>
      </w:r>
    </w:p>
    <w:p w14:paraId="00F2CAB9">
      <w:pPr>
        <w:ind w:firstLine="640" w:firstLineChars="200"/>
        <w:rPr>
          <w:rFonts w:ascii="仿宋_GB2312" w:eastAsia="仿宋_GB2312"/>
          <w:color w:val="000000"/>
          <w:sz w:val="32"/>
          <w:szCs w:val="32"/>
        </w:rPr>
      </w:pPr>
      <w:r>
        <w:rPr>
          <w:rFonts w:hint="eastAsia" w:ascii="仿宋_GB2312" w:eastAsia="仿宋_GB2312"/>
          <w:color w:val="000000"/>
          <w:sz w:val="32"/>
          <w:szCs w:val="32"/>
        </w:rPr>
        <w:t>6</w:t>
      </w:r>
      <w:r>
        <w:rPr>
          <w:rFonts w:ascii="仿宋_GB2312" w:eastAsia="仿宋_GB2312"/>
          <w:color w:val="000000"/>
          <w:sz w:val="32"/>
          <w:szCs w:val="32"/>
        </w:rPr>
        <w:t>.</w:t>
      </w:r>
      <w:r>
        <w:rPr>
          <w:rFonts w:hint="eastAsia" w:ascii="仿宋_GB2312" w:eastAsia="仿宋_GB2312"/>
          <w:color w:val="000000"/>
          <w:sz w:val="32"/>
          <w:szCs w:val="32"/>
        </w:rPr>
        <w:t>公共安全（类）法院（款）一般行政管理事务（项）：指法院机关未单独设置项级科目的其他项目支出。</w:t>
      </w:r>
    </w:p>
    <w:p w14:paraId="4DDDE7C8">
      <w:pPr>
        <w:ind w:firstLine="640" w:firstLineChars="200"/>
        <w:rPr>
          <w:rFonts w:ascii="仿宋_GB2312" w:eastAsia="仿宋_GB2312"/>
          <w:color w:val="000000"/>
          <w:sz w:val="32"/>
          <w:szCs w:val="32"/>
        </w:rPr>
      </w:pPr>
      <w:r>
        <w:rPr>
          <w:rFonts w:hint="eastAsia" w:ascii="仿宋_GB2312" w:eastAsia="仿宋_GB2312"/>
          <w:color w:val="000000"/>
          <w:sz w:val="32"/>
          <w:szCs w:val="32"/>
        </w:rPr>
        <w:t>7</w:t>
      </w:r>
      <w:r>
        <w:rPr>
          <w:rFonts w:ascii="仿宋_GB2312" w:eastAsia="仿宋_GB2312"/>
          <w:color w:val="000000"/>
          <w:sz w:val="32"/>
          <w:szCs w:val="32"/>
        </w:rPr>
        <w:t>.</w:t>
      </w:r>
      <w:r>
        <w:rPr>
          <w:rFonts w:hint="eastAsia" w:ascii="仿宋_GB2312" w:eastAsia="仿宋_GB2312"/>
          <w:color w:val="000000"/>
          <w:sz w:val="32"/>
          <w:szCs w:val="32"/>
        </w:rPr>
        <w:t>公共安全（类）法院（款）案件审判（项）：指对刑事、民事、行政、涉外等案件审判活动的支出。</w:t>
      </w:r>
    </w:p>
    <w:p w14:paraId="5EED45E7">
      <w:pPr>
        <w:ind w:firstLine="640" w:firstLineChars="200"/>
        <w:rPr>
          <w:rFonts w:ascii="仿宋_GB2312" w:eastAsia="仿宋_GB2312"/>
          <w:color w:val="000000"/>
          <w:sz w:val="32"/>
          <w:szCs w:val="32"/>
        </w:rPr>
      </w:pPr>
      <w:r>
        <w:rPr>
          <w:rFonts w:hint="eastAsia" w:ascii="仿宋_GB2312" w:eastAsia="仿宋_GB2312"/>
          <w:color w:val="000000"/>
          <w:sz w:val="32"/>
          <w:szCs w:val="32"/>
        </w:rPr>
        <w:t>8.公共安全（类）法院（款）案件执行（项）：指对刑事、民事、行政、涉外等案件执行活动对务种非诉执行活动的支出。</w:t>
      </w:r>
    </w:p>
    <w:p w14:paraId="1FC32F56">
      <w:pPr>
        <w:ind w:firstLine="640" w:firstLineChars="200"/>
        <w:rPr>
          <w:rFonts w:ascii="仿宋_GB2312" w:eastAsia="仿宋_GB2312"/>
          <w:color w:val="000000"/>
          <w:sz w:val="32"/>
          <w:szCs w:val="32"/>
        </w:rPr>
      </w:pPr>
      <w:r>
        <w:rPr>
          <w:rFonts w:hint="eastAsia" w:ascii="仿宋_GB2312" w:eastAsia="仿宋_GB2312"/>
          <w:color w:val="000000"/>
          <w:sz w:val="32"/>
          <w:szCs w:val="32"/>
        </w:rPr>
        <w:t>9.公共安全（类）法院（款）“两庭”建设（项）指法院审判用房人民法庭用房、刑场建设维修和设备购置，以及审判庭安全监控设备购置及运行管理等支出。</w:t>
      </w:r>
    </w:p>
    <w:p w14:paraId="353FB5D4">
      <w:pPr>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社会保障和就业（类）行政事业单位离退休（款）归口管理的单位离退休（项）：指实行归口管理管理的行政单位开支的离退休经费。</w:t>
      </w:r>
    </w:p>
    <w:p w14:paraId="0F68BAA1">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社会保障和就业（类）行政事业单位离退休（款）行政事业单位基本养老保险缴费（项）：指机关事业单位实施养老保险制度由单位缴纳的基本养老保险费支出。</w:t>
      </w:r>
    </w:p>
    <w:p w14:paraId="4120EAA6">
      <w:pPr>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医疗卫生与计划生育（类）行政事业单位医疗（款）行政单位医疗（项）：指财政部门安排的行政单位基本医疗保险缴费经费，未参加医疗保险的行政单位的公费医疗经费，按国家规定享受离休人员、红军老战士待遇人员的医疗经费。</w:t>
      </w:r>
    </w:p>
    <w:p w14:paraId="664CE92F">
      <w:pPr>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住房保障（类）住房改革支出（款）住房公积金（项）：指反映行政事业单位按人力资源和社会保障部、财政部规定的基本工资和津贴补贴以及规定比例为职工缴纳的住房公积金。</w:t>
      </w:r>
    </w:p>
    <w:p w14:paraId="71E8CC97">
      <w:pPr>
        <w:ind w:firstLine="640" w:firstLineChars="200"/>
        <w:rPr>
          <w:rFonts w:ascii="仿宋_GB2312" w:eastAsia="仿宋_GB2312"/>
          <w:color w:val="000000"/>
          <w:sz w:val="32"/>
          <w:szCs w:val="32"/>
        </w:rPr>
      </w:pPr>
      <w:r>
        <w:rPr>
          <w:rFonts w:hint="eastAsia" w:ascii="仿宋_GB2312" w:eastAsia="仿宋_GB2312"/>
          <w:color w:val="000000"/>
          <w:sz w:val="32"/>
          <w:szCs w:val="32"/>
        </w:rPr>
        <w:t>12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601D7596">
      <w:pPr>
        <w:pStyle w:val="20"/>
        <w:spacing w:line="560" w:lineRule="exact"/>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5E9045F">
      <w:pPr>
        <w:pStyle w:val="20"/>
        <w:spacing w:line="560" w:lineRule="exact"/>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9AF524D">
      <w:pPr>
        <w:pStyle w:val="20"/>
        <w:spacing w:line="560" w:lineRule="exact"/>
        <w:ind w:firstLine="640" w:firstLineChars="200"/>
        <w:rPr>
          <w:rFonts w:ascii="仿宋_GB2312" w:eastAsia="仿宋_GB2312" w:cs="黑体"/>
          <w:sz w:val="32"/>
          <w:szCs w:val="32"/>
        </w:rPr>
      </w:pPr>
    </w:p>
    <w:p w14:paraId="6D33BB06">
      <w:pPr>
        <w:ind w:firstLine="883" w:firstLineChars="200"/>
        <w:rPr>
          <w:rFonts w:ascii="仿宋_GB2312" w:eastAsia="仿宋_GB2312"/>
          <w:sz w:val="32"/>
          <w:szCs w:val="32"/>
        </w:rPr>
      </w:pPr>
      <w:r>
        <w:rPr>
          <w:rFonts w:ascii="宋体"/>
          <w:b/>
          <w:color w:val="000000"/>
          <w:sz w:val="44"/>
          <w:szCs w:val="44"/>
        </w:rPr>
        <w:br w:type="page"/>
      </w:r>
    </w:p>
    <w:p w14:paraId="654F21CA">
      <w:pPr>
        <w:spacing w:line="600" w:lineRule="exact"/>
        <w:jc w:val="center"/>
        <w:outlineLvl w:val="0"/>
        <w:rPr>
          <w:rStyle w:val="19"/>
          <w:rFonts w:ascii="黑体" w:hAnsi="黑体" w:eastAsia="黑体"/>
        </w:rPr>
      </w:pPr>
      <w:bookmarkStart w:id="20" w:name="_Toc15396614"/>
      <w:r>
        <w:rPr>
          <w:rFonts w:hint="eastAsia" w:ascii="黑体" w:hAnsi="黑体" w:eastAsia="黑体"/>
          <w:color w:val="000000"/>
          <w:sz w:val="44"/>
          <w:szCs w:val="44"/>
        </w:rPr>
        <w:t>第</w:t>
      </w:r>
      <w:r>
        <w:rPr>
          <w:rStyle w:val="19"/>
          <w:rFonts w:hint="eastAsia" w:ascii="黑体" w:hAnsi="黑体" w:eastAsia="黑体"/>
        </w:rPr>
        <w:t>四部分 附件</w:t>
      </w:r>
      <w:bookmarkEnd w:id="20"/>
    </w:p>
    <w:p w14:paraId="401CE801">
      <w:pPr>
        <w:spacing w:line="600" w:lineRule="exact"/>
        <w:jc w:val="center"/>
        <w:outlineLvl w:val="0"/>
        <w:rPr>
          <w:rStyle w:val="19"/>
        </w:rPr>
      </w:pPr>
    </w:p>
    <w:p w14:paraId="3E8A199D">
      <w:pPr>
        <w:pStyle w:val="3"/>
        <w:rPr>
          <w:rStyle w:val="19"/>
          <w:rFonts w:ascii="仿宋_GB2312" w:hAnsi="仿宋" w:eastAsia="仿宋_GB2312"/>
          <w:b w:val="0"/>
          <w:bCs w:val="0"/>
          <w:sz w:val="32"/>
          <w:szCs w:val="32"/>
        </w:rPr>
      </w:pPr>
      <w:bookmarkStart w:id="21" w:name="_Toc15396615"/>
      <w:r>
        <w:rPr>
          <w:rStyle w:val="19"/>
          <w:rFonts w:hint="eastAsia" w:ascii="仿宋_GB2312" w:hAnsi="仿宋" w:eastAsia="仿宋_GB2312"/>
          <w:b w:val="0"/>
          <w:bCs w:val="0"/>
          <w:sz w:val="32"/>
          <w:szCs w:val="32"/>
        </w:rPr>
        <w:t>附件1</w:t>
      </w:r>
      <w:bookmarkEnd w:id="21"/>
    </w:p>
    <w:p w14:paraId="14D101D3">
      <w:pPr>
        <w:spacing w:line="600" w:lineRule="exact"/>
        <w:jc w:val="center"/>
        <w:outlineLvl w:val="0"/>
        <w:rPr>
          <w:rFonts w:ascii="仿宋_GB2312" w:hAnsi="黑体" w:eastAsia="仿宋_GB2312" w:cs="方正小标宋简体"/>
          <w:b/>
          <w:sz w:val="32"/>
          <w:szCs w:val="32"/>
        </w:rPr>
      </w:pPr>
      <w:bookmarkStart w:id="22" w:name="_Toc15396616"/>
      <w:r>
        <w:rPr>
          <w:rFonts w:hint="eastAsia" w:ascii="仿宋_GB2312" w:hAnsi="黑体" w:eastAsia="仿宋_GB2312" w:cs="方正小标宋简体"/>
          <w:b/>
          <w:sz w:val="32"/>
          <w:szCs w:val="32"/>
        </w:rPr>
        <w:t>广元市昭化区人民法院</w:t>
      </w:r>
    </w:p>
    <w:p w14:paraId="386B2E88">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2018年部门整体支出绩效评价报告</w:t>
      </w:r>
      <w:bookmarkEnd w:id="22"/>
    </w:p>
    <w:p w14:paraId="495C7490">
      <w:pPr>
        <w:spacing w:line="580" w:lineRule="exact"/>
        <w:ind w:firstLine="640" w:firstLineChars="200"/>
        <w:rPr>
          <w:rFonts w:ascii="仿宋_GB2312" w:hAnsi="黑体" w:eastAsia="仿宋_GB2312" w:cs="黑体"/>
          <w:sz w:val="32"/>
          <w:szCs w:val="32"/>
        </w:rPr>
      </w:pPr>
    </w:p>
    <w:p w14:paraId="12E554AB">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14:paraId="40A91B72">
      <w:pPr>
        <w:snapToGrid w:val="0"/>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（一）机构组成。</w:t>
      </w:r>
    </w:p>
    <w:p w14:paraId="6C28C8A5">
      <w:pPr>
        <w:snapToGrid w:val="0"/>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olor w:val="000000"/>
          <w:sz w:val="32"/>
          <w:szCs w:val="32"/>
        </w:rPr>
        <w:t>2018</w:t>
      </w:r>
      <w:r>
        <w:rPr>
          <w:rFonts w:hint="eastAsia" w:ascii="仿宋_GB2312" w:hAnsi="仿宋" w:eastAsia="仿宋_GB2312" w:cs="仿宋"/>
          <w:color w:val="000000"/>
          <w:sz w:val="32"/>
          <w:szCs w:val="32"/>
        </w:rPr>
        <w:t>年度，纳入本部门决算汇编范围的独立核算单位共1个</w:t>
      </w:r>
      <w:r>
        <w:rPr>
          <w:rFonts w:hint="eastAsia" w:ascii="仿宋_GB2312" w:hAnsi="仿宋" w:eastAsia="仿宋_GB2312"/>
          <w:color w:val="000000"/>
          <w:sz w:val="32"/>
          <w:szCs w:val="32"/>
        </w:rPr>
        <w:t>。</w:t>
      </w:r>
    </w:p>
    <w:p w14:paraId="3B54549E">
      <w:pPr>
        <w:widowControl/>
        <w:numPr>
          <w:ilvl w:val="0"/>
          <w:numId w:val="6"/>
        </w:numPr>
        <w:spacing w:line="560" w:lineRule="exact"/>
        <w:ind w:firstLine="645"/>
        <w:jc w:val="left"/>
        <w:rPr>
          <w:rFonts w:ascii="仿宋_GB2312" w:hAnsi="仿宋" w:eastAsia="仿宋_GB2312" w:cs="仿宋_GB2312"/>
          <w:sz w:val="32"/>
          <w:szCs w:val="32"/>
        </w:rPr>
      </w:pPr>
      <w:r>
        <w:rPr>
          <w:rFonts w:hint="eastAsia" w:ascii="仿宋_GB2312" w:hAnsi="仿宋" w:eastAsia="仿宋_GB2312" w:cs="仿宋_GB2312"/>
          <w:sz w:val="32"/>
          <w:szCs w:val="32"/>
        </w:rPr>
        <w:t>机构职能。</w:t>
      </w:r>
    </w:p>
    <w:p w14:paraId="04446244">
      <w:pPr>
        <w:pStyle w:val="23"/>
        <w:ind w:left="420" w:firstLine="640"/>
        <w:rPr>
          <w:rFonts w:ascii="仿宋_GB2312" w:eastAsia="仿宋_GB2312"/>
          <w:sz w:val="32"/>
          <w:szCs w:val="32"/>
        </w:rPr>
      </w:pPr>
      <w:r>
        <w:rPr>
          <w:rFonts w:hint="eastAsia" w:ascii="仿宋_GB2312" w:eastAsia="仿宋_GB2312"/>
          <w:sz w:val="32"/>
          <w:szCs w:val="32"/>
        </w:rPr>
        <w:t>1.依法审理法律规定由基层人民法院管辖、中级人民法院指定管辖或者认为应当由本法院审理的刑事、民事、行政等一审案件。</w:t>
      </w:r>
    </w:p>
    <w:p w14:paraId="14B4C2D0">
      <w:pPr>
        <w:pStyle w:val="23"/>
        <w:ind w:left="420" w:firstLine="640"/>
        <w:rPr>
          <w:rFonts w:ascii="仿宋_GB2312" w:eastAsia="仿宋_GB2312"/>
          <w:sz w:val="32"/>
          <w:szCs w:val="32"/>
        </w:rPr>
      </w:pPr>
      <w:r>
        <w:rPr>
          <w:rFonts w:hint="eastAsia" w:ascii="仿宋_GB2312" w:eastAsia="仿宋_GB2312"/>
          <w:sz w:val="32"/>
          <w:szCs w:val="32"/>
        </w:rPr>
        <w:t>2.依法审理中级人民法院指定再审的案件和市人民检察院抗诉的案件。受理当事人不服本院发生法律效力的判决、裁定并提起申诉的刑事、行政诉讼案件。</w:t>
      </w:r>
    </w:p>
    <w:p w14:paraId="16ABF3BA">
      <w:pPr>
        <w:ind w:firstLine="1120" w:firstLineChars="350"/>
        <w:rPr>
          <w:rFonts w:ascii="仿宋_GB2312" w:eastAsia="仿宋_GB2312"/>
          <w:sz w:val="32"/>
          <w:szCs w:val="32"/>
        </w:rPr>
      </w:pPr>
      <w:r>
        <w:rPr>
          <w:rFonts w:hint="eastAsia" w:ascii="仿宋_GB2312" w:eastAsia="仿宋_GB2312"/>
          <w:sz w:val="32"/>
          <w:szCs w:val="32"/>
        </w:rPr>
        <w:t>3.依法行使执行权和司法决定权。</w:t>
      </w:r>
    </w:p>
    <w:p w14:paraId="65E74593">
      <w:pPr>
        <w:ind w:firstLine="1120" w:firstLineChars="350"/>
        <w:rPr>
          <w:rFonts w:ascii="仿宋_GB2312" w:eastAsia="仿宋_GB2312"/>
          <w:sz w:val="32"/>
          <w:szCs w:val="32"/>
        </w:rPr>
      </w:pPr>
      <w:r>
        <w:rPr>
          <w:rFonts w:hint="eastAsia" w:ascii="仿宋_GB2312" w:eastAsia="仿宋_GB2312"/>
          <w:sz w:val="32"/>
          <w:szCs w:val="32"/>
        </w:rPr>
        <w:t>4.对法律规定、规章等草案提出意见，对案件审理中发现的问题提出司法建议。</w:t>
      </w:r>
    </w:p>
    <w:p w14:paraId="6507F29F">
      <w:pPr>
        <w:ind w:firstLine="1120" w:firstLineChars="350"/>
        <w:rPr>
          <w:rFonts w:ascii="仿宋_GB2312" w:eastAsia="仿宋_GB2312"/>
          <w:sz w:val="32"/>
          <w:szCs w:val="32"/>
        </w:rPr>
      </w:pPr>
      <w:r>
        <w:rPr>
          <w:rFonts w:hint="eastAsia" w:ascii="仿宋_GB2312" w:eastAsia="仿宋_GB2312"/>
          <w:sz w:val="32"/>
          <w:szCs w:val="32"/>
        </w:rPr>
        <w:t>5.指导基层法庭工作。</w:t>
      </w:r>
    </w:p>
    <w:p w14:paraId="2ED78961">
      <w:pPr>
        <w:ind w:firstLine="1120" w:firstLineChars="350"/>
        <w:rPr>
          <w:rFonts w:ascii="仿宋_GB2312" w:eastAsia="仿宋_GB2312"/>
          <w:sz w:val="32"/>
          <w:szCs w:val="32"/>
        </w:rPr>
      </w:pPr>
      <w:r>
        <w:rPr>
          <w:rFonts w:hint="eastAsia" w:ascii="仿宋_GB2312" w:eastAsia="仿宋_GB2312"/>
          <w:sz w:val="32"/>
          <w:szCs w:val="32"/>
        </w:rPr>
        <w:t>6.负责全院的思想政治、教育培训工作和干部管理工作。</w:t>
      </w:r>
    </w:p>
    <w:p w14:paraId="56349A18">
      <w:pPr>
        <w:ind w:firstLine="1120" w:firstLineChars="350"/>
        <w:rPr>
          <w:rFonts w:ascii="仿宋_GB2312" w:eastAsia="仿宋_GB2312"/>
          <w:sz w:val="32"/>
          <w:szCs w:val="32"/>
        </w:rPr>
      </w:pPr>
      <w:r>
        <w:rPr>
          <w:rFonts w:hint="eastAsia" w:ascii="仿宋_GB2312" w:eastAsia="仿宋_GB2312"/>
          <w:sz w:val="32"/>
          <w:szCs w:val="32"/>
        </w:rPr>
        <w:t>7.负责全院财务、专项投资的计划管理及分配。</w:t>
      </w:r>
    </w:p>
    <w:p w14:paraId="3BF9A055">
      <w:pPr>
        <w:ind w:firstLine="1120" w:firstLineChars="350"/>
        <w:rPr>
          <w:rFonts w:ascii="仿宋_GB2312" w:eastAsia="仿宋_GB2312"/>
          <w:sz w:val="32"/>
          <w:szCs w:val="32"/>
        </w:rPr>
      </w:pPr>
      <w:r>
        <w:rPr>
          <w:rFonts w:hint="eastAsia" w:ascii="仿宋_GB2312" w:eastAsia="仿宋_GB2312"/>
          <w:sz w:val="32"/>
          <w:szCs w:val="32"/>
        </w:rPr>
        <w:t>8.负责全院的监察工作。</w:t>
      </w:r>
    </w:p>
    <w:p w14:paraId="40B8D5EE">
      <w:pPr>
        <w:ind w:firstLine="1120" w:firstLineChars="350"/>
        <w:rPr>
          <w:rFonts w:ascii="仿宋_GB2312" w:eastAsia="仿宋_GB2312"/>
          <w:sz w:val="32"/>
          <w:szCs w:val="32"/>
        </w:rPr>
      </w:pPr>
      <w:r>
        <w:rPr>
          <w:rFonts w:hint="eastAsia" w:ascii="仿宋_GB2312" w:eastAsia="仿宋_GB2312"/>
          <w:sz w:val="32"/>
          <w:szCs w:val="32"/>
        </w:rPr>
        <w:t>9.管理人民法院司法警察工作。</w:t>
      </w:r>
    </w:p>
    <w:p w14:paraId="17B2BD44">
      <w:pPr>
        <w:ind w:firstLine="1120" w:firstLineChars="350"/>
        <w:rPr>
          <w:rFonts w:ascii="仿宋_GB2312" w:eastAsia="仿宋_GB2312"/>
          <w:sz w:val="32"/>
          <w:szCs w:val="32"/>
        </w:rPr>
      </w:pPr>
      <w:r>
        <w:rPr>
          <w:rFonts w:hint="eastAsia" w:ascii="仿宋_GB2312" w:eastAsia="仿宋_GB2312"/>
          <w:sz w:val="32"/>
          <w:szCs w:val="32"/>
        </w:rPr>
        <w:t>10.做好本院行政、后勤事业管理和服务工作。</w:t>
      </w:r>
    </w:p>
    <w:p w14:paraId="0CFEC67D">
      <w:pPr>
        <w:ind w:firstLine="1120" w:firstLineChars="350"/>
        <w:rPr>
          <w:rFonts w:ascii="仿宋_GB2312" w:eastAsia="仿宋_GB2312"/>
          <w:sz w:val="32"/>
          <w:szCs w:val="32"/>
        </w:rPr>
      </w:pPr>
      <w:r>
        <w:rPr>
          <w:rFonts w:hint="eastAsia" w:ascii="仿宋_GB2312" w:eastAsia="仿宋_GB2312"/>
          <w:sz w:val="32"/>
          <w:szCs w:val="32"/>
        </w:rPr>
        <w:t>11.宣传法制，教育公民忠于社会主义祖国，自觉遵守宪法、法律和社会公德。</w:t>
      </w:r>
    </w:p>
    <w:p w14:paraId="619B6E3C">
      <w:pPr>
        <w:ind w:firstLine="1120" w:firstLineChars="350"/>
        <w:rPr>
          <w:rFonts w:ascii="仿宋_GB2312" w:eastAsia="仿宋_GB2312"/>
          <w:sz w:val="32"/>
          <w:szCs w:val="32"/>
        </w:rPr>
      </w:pPr>
      <w:r>
        <w:rPr>
          <w:rFonts w:hint="eastAsia" w:ascii="仿宋_GB2312" w:eastAsia="仿宋_GB2312"/>
          <w:sz w:val="32"/>
          <w:szCs w:val="32"/>
        </w:rPr>
        <w:t>12.积极参与社会治安综合治理。</w:t>
      </w:r>
    </w:p>
    <w:p w14:paraId="606C0807">
      <w:pPr>
        <w:ind w:firstLine="1120" w:firstLineChars="350"/>
        <w:rPr>
          <w:rFonts w:ascii="仿宋_GB2312" w:eastAsia="仿宋_GB2312"/>
          <w:sz w:val="32"/>
          <w:szCs w:val="32"/>
        </w:rPr>
      </w:pPr>
      <w:r>
        <w:rPr>
          <w:rFonts w:hint="eastAsia" w:ascii="仿宋_GB2312" w:eastAsia="仿宋_GB2312"/>
          <w:sz w:val="32"/>
          <w:szCs w:val="32"/>
        </w:rPr>
        <w:t>13.承办其它应由基层人民法院负责的工作。</w:t>
      </w:r>
    </w:p>
    <w:p w14:paraId="7DA09676">
      <w:pPr>
        <w:spacing w:line="560" w:lineRule="exact"/>
        <w:ind w:left="645"/>
        <w:rPr>
          <w:rFonts w:ascii="仿宋_GB2312" w:hAnsi="仿宋" w:eastAsia="仿宋_GB2312" w:cs="仿宋_GB2312"/>
          <w:sz w:val="32"/>
          <w:szCs w:val="32"/>
        </w:rPr>
      </w:pPr>
      <w:r>
        <w:rPr>
          <w:rFonts w:hint="eastAsia" w:ascii="仿宋_GB2312" w:hAnsi="仿宋" w:eastAsia="仿宋_GB2312" w:cs="仿宋_GB2312"/>
          <w:sz w:val="32"/>
          <w:szCs w:val="32"/>
        </w:rPr>
        <w:t>人员概况。</w:t>
      </w:r>
    </w:p>
    <w:p w14:paraId="4AFDB3EE">
      <w:pPr>
        <w:ind w:firstLine="640" w:firstLineChars="200"/>
        <w:rPr>
          <w:rFonts w:ascii="仿宋_GB2312" w:eastAsia="仿宋_GB2312"/>
          <w:sz w:val="32"/>
          <w:szCs w:val="32"/>
        </w:rPr>
      </w:pPr>
      <w:r>
        <w:rPr>
          <w:rFonts w:hint="eastAsia" w:ascii="仿宋_GB2312" w:eastAsia="仿宋_GB2312"/>
          <w:sz w:val="32"/>
          <w:szCs w:val="32"/>
        </w:rPr>
        <w:t>区法院设置21个部门，纪检组、政治处、监察室、研究室、审管办、审判监督庭、刑事审判庭、执行局（执行庭）、民商事审判一庭、民商事审判二庭、立案庭、行政庭、法警大队、办公室、机关事务部、虎跳法庭、卫子法庭、王家法庭、昭化法庭、明觉法庭、太公法庭。</w:t>
      </w:r>
    </w:p>
    <w:p w14:paraId="45E092ED">
      <w:pPr>
        <w:ind w:firstLine="640" w:firstLineChars="200"/>
        <w:rPr>
          <w:rFonts w:ascii="仿宋_GB2312" w:eastAsia="仿宋_GB2312"/>
          <w:sz w:val="32"/>
          <w:szCs w:val="32"/>
        </w:rPr>
      </w:pPr>
      <w:r>
        <w:rPr>
          <w:rFonts w:hint="eastAsia" w:ascii="仿宋_GB2312" w:eastAsia="仿宋_GB2312"/>
          <w:sz w:val="32"/>
          <w:szCs w:val="32"/>
        </w:rPr>
        <w:t>人员情况：区法院共有编制68名，其中：政法编制60人，工勤编制1人，事业编制7人。2018年预算实有在职编制内人员63人，较去年60人增加了3人，其中：政法编制55人，工勤编制1人，事业编制7人，退休人员21人。</w:t>
      </w:r>
    </w:p>
    <w:p w14:paraId="7733CD77">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14:paraId="5DDFEEB7">
      <w:pPr>
        <w:spacing w:line="556" w:lineRule="exact"/>
        <w:ind w:left="480"/>
        <w:rPr>
          <w:rFonts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14:paraId="72B994EF">
      <w:pPr>
        <w:spacing w:line="556" w:lineRule="exact"/>
        <w:ind w:firstLine="640" w:firstLineChars="200"/>
        <w:rPr>
          <w:rFonts w:ascii="仿宋_GB2312" w:hAnsi="仿宋" w:eastAsia="仿宋_GB2312" w:cs="楷体_GB2312"/>
          <w:color w:val="000000"/>
          <w:sz w:val="32"/>
          <w:szCs w:val="32"/>
        </w:rPr>
      </w:pPr>
      <w:r>
        <w:rPr>
          <w:rFonts w:hint="eastAsia" w:ascii="仿宋_GB2312" w:hAnsi="仿宋" w:eastAsia="仿宋_GB2312" w:cs="楷体_GB2312"/>
          <w:color w:val="000000"/>
          <w:sz w:val="32"/>
          <w:szCs w:val="32"/>
        </w:rPr>
        <w:t>2018年，我单位预算收入</w:t>
      </w:r>
      <w:r>
        <w:rPr>
          <w:rFonts w:hint="eastAsia" w:ascii="仿宋_GB2312" w:hAnsi="仿宋" w:eastAsia="仿宋_GB2312"/>
          <w:color w:val="000000"/>
          <w:sz w:val="32"/>
          <w:szCs w:val="32"/>
        </w:rPr>
        <w:t>1436.45</w:t>
      </w:r>
      <w:r>
        <w:rPr>
          <w:rFonts w:hint="eastAsia" w:ascii="仿宋_GB2312" w:hAnsi="仿宋" w:eastAsia="仿宋_GB2312" w:cs="楷体_GB2312"/>
          <w:color w:val="000000"/>
          <w:sz w:val="32"/>
          <w:szCs w:val="32"/>
        </w:rPr>
        <w:t>万元,其中：公共预算收入</w:t>
      </w:r>
      <w:r>
        <w:rPr>
          <w:rFonts w:hint="eastAsia" w:ascii="仿宋_GB2312" w:hAnsi="仿宋" w:eastAsia="仿宋_GB2312"/>
          <w:color w:val="000000"/>
          <w:sz w:val="32"/>
          <w:szCs w:val="32"/>
        </w:rPr>
        <w:t>1436.45</w:t>
      </w:r>
      <w:r>
        <w:rPr>
          <w:rFonts w:hint="eastAsia" w:ascii="仿宋_GB2312" w:hAnsi="仿宋" w:eastAsia="仿宋_GB2312" w:cs="楷体_GB2312"/>
          <w:color w:val="000000"/>
          <w:sz w:val="32"/>
          <w:szCs w:val="32"/>
        </w:rPr>
        <w:t xml:space="preserve">万元。 </w:t>
      </w:r>
    </w:p>
    <w:p w14:paraId="0C984E09">
      <w:pPr>
        <w:numPr>
          <w:ilvl w:val="0"/>
          <w:numId w:val="7"/>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部门财政资金支出情况。</w:t>
      </w:r>
    </w:p>
    <w:p w14:paraId="4A8A125A">
      <w:pPr>
        <w:spacing w:line="556" w:lineRule="exact"/>
        <w:ind w:firstLine="640" w:firstLineChars="200"/>
        <w:rPr>
          <w:rFonts w:ascii="仿宋_GB2312" w:hAnsi="仿宋" w:eastAsia="仿宋_GB2312" w:cs="楷体_GB2312"/>
          <w:color w:val="000000"/>
          <w:sz w:val="32"/>
          <w:szCs w:val="32"/>
        </w:rPr>
      </w:pPr>
      <w:r>
        <w:rPr>
          <w:rFonts w:hint="eastAsia" w:ascii="仿宋_GB2312" w:hAnsi="仿宋" w:eastAsia="仿宋_GB2312" w:cs="楷体_GB2312"/>
          <w:color w:val="000000"/>
          <w:sz w:val="32"/>
          <w:szCs w:val="32"/>
        </w:rPr>
        <w:t>2018年，我单位预算收入</w:t>
      </w:r>
      <w:r>
        <w:rPr>
          <w:rFonts w:hint="eastAsia" w:ascii="仿宋_GB2312" w:hAnsi="仿宋" w:eastAsia="仿宋_GB2312"/>
          <w:color w:val="000000"/>
          <w:sz w:val="32"/>
          <w:szCs w:val="32"/>
        </w:rPr>
        <w:t>1436.45</w:t>
      </w:r>
      <w:r>
        <w:rPr>
          <w:rFonts w:hint="eastAsia" w:ascii="仿宋_GB2312" w:hAnsi="仿宋" w:eastAsia="仿宋_GB2312" w:cs="楷体_GB2312"/>
          <w:color w:val="000000"/>
          <w:sz w:val="32"/>
          <w:szCs w:val="32"/>
        </w:rPr>
        <w:t>万元,其中：公共预算基本支出</w:t>
      </w:r>
      <w:r>
        <w:rPr>
          <w:rFonts w:hint="eastAsia" w:ascii="仿宋_GB2312" w:hAnsi="仿宋" w:eastAsia="仿宋_GB2312"/>
          <w:color w:val="000000"/>
          <w:sz w:val="32"/>
          <w:szCs w:val="32"/>
        </w:rPr>
        <w:t>1166.7</w:t>
      </w:r>
      <w:r>
        <w:rPr>
          <w:rFonts w:hint="eastAsia" w:ascii="仿宋_GB2312" w:hAnsi="仿宋" w:eastAsia="仿宋_GB2312" w:cs="楷体_GB2312"/>
          <w:color w:val="000000"/>
          <w:sz w:val="32"/>
          <w:szCs w:val="32"/>
        </w:rPr>
        <w:t>万元、项目支出269.75元。</w:t>
      </w:r>
    </w:p>
    <w:p w14:paraId="79221079">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14:paraId="114A28A1">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14:paraId="7D9B3158">
      <w:pPr>
        <w:spacing w:line="556" w:lineRule="exact"/>
        <w:ind w:firstLine="640" w:firstLineChars="200"/>
        <w:rPr>
          <w:rFonts w:ascii="仿宋_GB2312" w:hAnsi="仿宋" w:eastAsia="仿宋_GB2312" w:cs="楷体_GB2312"/>
          <w:color w:val="000000"/>
          <w:sz w:val="32"/>
          <w:szCs w:val="32"/>
        </w:rPr>
      </w:pPr>
      <w:r>
        <w:rPr>
          <w:rFonts w:hint="eastAsia" w:ascii="仿宋_GB2312" w:hAnsi="仿宋" w:eastAsia="仿宋_GB2312" w:cs="楷体_GB2312"/>
          <w:color w:val="000000"/>
          <w:sz w:val="32"/>
          <w:szCs w:val="32"/>
        </w:rPr>
        <w:t>1、部门预算编制情况。我院严格按照规定编制收入预算、支出预算（含基本支出、项目支出）、三公经费预算等。编制准确，正确使用功能科目和经济科目、准确编列资金性质和资金级次、按政府审定的方案规范编制项目支出，不漏报、错报，及时报送区财政局。2018年，我院预算收入</w:t>
      </w:r>
      <w:r>
        <w:rPr>
          <w:rFonts w:hint="eastAsia" w:ascii="仿宋_GB2312" w:hAnsi="仿宋" w:eastAsia="仿宋_GB2312"/>
          <w:color w:val="000000"/>
          <w:sz w:val="32"/>
          <w:szCs w:val="32"/>
        </w:rPr>
        <w:t>1436.45</w:t>
      </w:r>
      <w:r>
        <w:rPr>
          <w:rFonts w:hint="eastAsia" w:ascii="仿宋_GB2312" w:hAnsi="仿宋" w:eastAsia="仿宋_GB2312" w:cs="楷体_GB2312"/>
          <w:color w:val="000000"/>
          <w:sz w:val="32"/>
          <w:szCs w:val="32"/>
        </w:rPr>
        <w:t>万元,其中：公共预算基本支出</w:t>
      </w:r>
      <w:r>
        <w:rPr>
          <w:rFonts w:hint="eastAsia" w:ascii="仿宋_GB2312" w:hAnsi="仿宋" w:eastAsia="仿宋_GB2312"/>
          <w:color w:val="000000"/>
          <w:sz w:val="32"/>
          <w:szCs w:val="32"/>
        </w:rPr>
        <w:t>1166.7</w:t>
      </w:r>
      <w:r>
        <w:rPr>
          <w:rFonts w:hint="eastAsia" w:ascii="仿宋_GB2312" w:hAnsi="仿宋" w:eastAsia="仿宋_GB2312" w:cs="楷体_GB2312"/>
          <w:color w:val="000000"/>
          <w:sz w:val="32"/>
          <w:szCs w:val="32"/>
        </w:rPr>
        <w:t xml:space="preserve">万元、项目支出269.75元。 </w:t>
      </w:r>
    </w:p>
    <w:p w14:paraId="27446AB5">
      <w:pPr>
        <w:spacing w:line="556" w:lineRule="exact"/>
        <w:rPr>
          <w:rFonts w:ascii="仿宋_GB2312" w:hAnsi="仿宋" w:eastAsia="仿宋_GB2312" w:cs="楷体_GB2312"/>
          <w:color w:val="000000"/>
          <w:sz w:val="32"/>
          <w:szCs w:val="32"/>
        </w:rPr>
      </w:pPr>
      <w:r>
        <w:rPr>
          <w:rFonts w:hint="eastAsia" w:ascii="仿宋_GB2312" w:hAnsi="仿宋" w:eastAsia="仿宋_GB2312" w:cs="楷体_GB2312"/>
          <w:color w:val="000000"/>
          <w:sz w:val="32"/>
          <w:szCs w:val="32"/>
        </w:rPr>
        <w:t xml:space="preserve">    2、预算执行情况。一是规章制度建立健全，制度执行严格合规，会计核算符合相关规定。二是严格按照有关规定，加强对财政对财政各项资金的监督管理，确保资金及时、足额到位，专款专用，资金支付依据和开支标准合法合规，未出现截留和挤占挪作他用的现象。三是严格执行财政集中支付制度，按规定使用公务卡，严格控制现金支付方式。四是按时上交账户年检表。五是按规定对财政拨付的专项资金进行自检自查，做好资金的项目和资金使用效益工作，充分发挥各项资金的使用效益，财政各项专项工作按时高质量的完成。</w:t>
      </w:r>
    </w:p>
    <w:p w14:paraId="16BB85F8">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14:paraId="460F095F">
      <w:pPr>
        <w:spacing w:line="580" w:lineRule="exact"/>
        <w:ind w:firstLine="640" w:firstLineChars="200"/>
        <w:rPr>
          <w:rFonts w:ascii="仿宋_GB2312" w:hAnsi="仿宋" w:eastAsia="仿宋_GB2312" w:cs="楷体_GB2312"/>
          <w:color w:val="FF0000"/>
          <w:sz w:val="32"/>
          <w:szCs w:val="32"/>
        </w:rPr>
      </w:pPr>
      <w:r>
        <w:rPr>
          <w:rFonts w:hint="eastAsia" w:ascii="仿宋_GB2312" w:hAnsi="仿宋" w:eastAsia="仿宋_GB2312" w:cs="楷体_GB2312"/>
          <w:color w:val="000000"/>
          <w:sz w:val="32"/>
          <w:szCs w:val="32"/>
        </w:rPr>
        <w:t>全年向上级争取资金共269.75万元，</w:t>
      </w:r>
      <w:r>
        <w:rPr>
          <w:rFonts w:hint="eastAsia" w:ascii="仿宋_GB2312" w:hAnsi="仿宋" w:eastAsia="仿宋_GB2312" w:cs="Times New Roman"/>
          <w:color w:val="000000"/>
          <w:sz w:val="32"/>
          <w:szCs w:val="32"/>
        </w:rPr>
        <w:t>我单位加强了对专项资金的使用和管理，以不断增强经费保障和装备实力，做到了专款专用，管好用好，充分发挥资金的使用效益。</w:t>
      </w:r>
    </w:p>
    <w:p w14:paraId="56DBA561">
      <w:pPr>
        <w:spacing w:line="580" w:lineRule="exact"/>
        <w:ind w:firstLine="640" w:firstLineChars="200"/>
        <w:rPr>
          <w:rFonts w:ascii="仿宋_GB2312" w:hAnsi="仿宋" w:eastAsia="仿宋_GB2312" w:cs="楷体_GB2312"/>
          <w:color w:val="000000"/>
          <w:sz w:val="32"/>
          <w:szCs w:val="32"/>
        </w:rPr>
      </w:pPr>
      <w:r>
        <w:rPr>
          <w:rFonts w:hint="eastAsia" w:ascii="仿宋_GB2312" w:hAnsi="仿宋" w:eastAsia="仿宋_GB2312" w:cs="楷体_GB2312"/>
          <w:color w:val="000000"/>
          <w:sz w:val="32"/>
          <w:szCs w:val="32"/>
        </w:rPr>
        <w:t>结果应用情况</w:t>
      </w:r>
    </w:p>
    <w:p w14:paraId="59AAFB76">
      <w:pPr>
        <w:spacing w:line="580" w:lineRule="exact"/>
        <w:ind w:firstLine="640" w:firstLineChars="200"/>
        <w:rPr>
          <w:rFonts w:ascii="仿宋_GB2312" w:hAnsi="仿宋" w:eastAsia="仿宋_GB2312" w:cs="楷体_GB2312"/>
          <w:color w:val="000000"/>
          <w:sz w:val="32"/>
          <w:szCs w:val="32"/>
        </w:rPr>
      </w:pPr>
      <w:r>
        <w:rPr>
          <w:rFonts w:hint="eastAsia" w:ascii="仿宋_GB2312" w:hAnsi="仿宋" w:eastAsia="仿宋_GB2312" w:cs="楷体_GB2312"/>
          <w:color w:val="000000"/>
          <w:sz w:val="32"/>
          <w:szCs w:val="32"/>
        </w:rPr>
        <w:t xml:space="preserve"> 评价结果作为年终部门评优及推选先进集体和公务员考核的依据。</w:t>
      </w:r>
    </w:p>
    <w:p w14:paraId="2ABD1F5F">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14:paraId="1DA8B045">
      <w:pPr>
        <w:spacing w:line="580" w:lineRule="exact"/>
        <w:ind w:firstLine="643" w:firstLineChars="200"/>
        <w:rPr>
          <w:rFonts w:ascii="仿宋_GB2312" w:hAnsi="仿宋" w:eastAsia="仿宋_GB2312" w:cs="仿宋"/>
          <w:bCs/>
          <w:sz w:val="32"/>
          <w:szCs w:val="32"/>
        </w:rPr>
      </w:pPr>
      <w:r>
        <w:rPr>
          <w:rFonts w:hint="eastAsia" w:ascii="仿宋_GB2312" w:hAnsi="仿宋" w:eastAsia="仿宋_GB2312" w:cs="仿宋"/>
          <w:b/>
          <w:sz w:val="32"/>
          <w:szCs w:val="32"/>
        </w:rPr>
        <w:t>（一）评价结论：</w:t>
      </w:r>
      <w:r>
        <w:rPr>
          <w:rFonts w:hint="eastAsia" w:ascii="仿宋_GB2312" w:hAnsi="仿宋" w:eastAsia="仿宋_GB2312" w:cs="仿宋"/>
          <w:bCs/>
          <w:sz w:val="32"/>
          <w:szCs w:val="32"/>
        </w:rPr>
        <w:t>本部门基本完成了2018年目标管理任务；</w:t>
      </w:r>
    </w:p>
    <w:p w14:paraId="0F200DF2">
      <w:pPr>
        <w:spacing w:line="580" w:lineRule="exact"/>
        <w:ind w:firstLine="321" w:firstLineChars="100"/>
        <w:rPr>
          <w:rFonts w:ascii="仿宋_GB2312" w:hAnsi="仿宋" w:eastAsia="仿宋_GB2312" w:cs="仿宋"/>
          <w:b/>
          <w:sz w:val="32"/>
          <w:szCs w:val="32"/>
        </w:rPr>
      </w:pPr>
      <w:r>
        <w:rPr>
          <w:rFonts w:hint="eastAsia" w:ascii="仿宋_GB2312" w:hAnsi="仿宋" w:eastAsia="仿宋_GB2312" w:cs="仿宋"/>
          <w:b/>
          <w:sz w:val="32"/>
          <w:szCs w:val="32"/>
        </w:rPr>
        <w:t>（二）存在问题:</w:t>
      </w:r>
    </w:p>
    <w:p w14:paraId="749A162A">
      <w:pPr>
        <w:spacing w:line="580" w:lineRule="exact"/>
        <w:ind w:left="420" w:leftChars="200"/>
        <w:rPr>
          <w:rFonts w:ascii="仿宋_GB2312" w:hAnsi="仿宋" w:eastAsia="仿宋_GB2312" w:cs="仿宋"/>
          <w:bCs/>
          <w:sz w:val="32"/>
          <w:szCs w:val="32"/>
        </w:rPr>
      </w:pPr>
      <w:r>
        <w:rPr>
          <w:rFonts w:hint="eastAsia" w:ascii="仿宋_GB2312" w:hAnsi="仿宋" w:eastAsia="仿宋_GB2312" w:cs="仿宋"/>
          <w:bCs/>
          <w:sz w:val="32"/>
          <w:szCs w:val="32"/>
        </w:rPr>
        <w:t>1、经济科目支出和收入不匹配；</w:t>
      </w:r>
    </w:p>
    <w:p w14:paraId="5866A042">
      <w:pPr>
        <w:spacing w:line="580" w:lineRule="exact"/>
        <w:ind w:left="420" w:leftChars="200"/>
        <w:rPr>
          <w:rFonts w:ascii="仿宋_GB2312" w:hAnsi="仿宋" w:eastAsia="仿宋_GB2312" w:cs="仿宋"/>
          <w:bCs/>
          <w:sz w:val="32"/>
          <w:szCs w:val="32"/>
        </w:rPr>
      </w:pPr>
      <w:r>
        <w:rPr>
          <w:rFonts w:hint="eastAsia" w:ascii="仿宋_GB2312" w:hAnsi="仿宋" w:eastAsia="仿宋_GB2312" w:cs="仿宋"/>
          <w:bCs/>
          <w:sz w:val="32"/>
          <w:szCs w:val="32"/>
        </w:rPr>
        <w:t>2、公务卡使用不达标；</w:t>
      </w:r>
    </w:p>
    <w:p w14:paraId="0A9E290E">
      <w:pPr>
        <w:spacing w:line="580" w:lineRule="exact"/>
        <w:ind w:left="420" w:leftChars="200"/>
        <w:rPr>
          <w:rFonts w:ascii="仿宋_GB2312" w:hAnsi="仿宋" w:eastAsia="仿宋_GB2312" w:cs="仿宋"/>
          <w:bCs/>
          <w:sz w:val="32"/>
          <w:szCs w:val="32"/>
        </w:rPr>
      </w:pPr>
      <w:r>
        <w:rPr>
          <w:rFonts w:hint="eastAsia" w:ascii="仿宋_GB2312" w:hAnsi="仿宋" w:eastAsia="仿宋_GB2312" w:cs="仿宋"/>
          <w:bCs/>
          <w:sz w:val="32"/>
          <w:szCs w:val="32"/>
        </w:rPr>
        <w:t>3、财务内部管理不完善。</w:t>
      </w:r>
    </w:p>
    <w:p w14:paraId="3477453E">
      <w:pPr>
        <w:snapToGrid w:val="0"/>
        <w:spacing w:line="360" w:lineRule="auto"/>
        <w:ind w:left="420" w:left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（三）改进建议。</w:t>
      </w:r>
    </w:p>
    <w:p w14:paraId="19F28DDC">
      <w:pPr>
        <w:spacing w:line="580" w:lineRule="exact"/>
        <w:ind w:left="210" w:leftChars="100" w:firstLine="320" w:firstLineChars="100"/>
        <w:rPr>
          <w:rFonts w:ascii="仿宋_GB2312" w:hAnsi="仿宋" w:eastAsia="仿宋_GB2312" w:cs="仿宋"/>
          <w:bCs/>
          <w:sz w:val="32"/>
          <w:szCs w:val="32"/>
        </w:rPr>
      </w:pPr>
      <w:r>
        <w:rPr>
          <w:rFonts w:hint="eastAsia" w:ascii="仿宋_GB2312" w:hAnsi="仿宋" w:eastAsia="仿宋_GB2312" w:cs="仿宋"/>
          <w:bCs/>
          <w:sz w:val="32"/>
          <w:szCs w:val="32"/>
        </w:rPr>
        <w:t>1、加强预算收入和支付管理，力争预算收入和支付的经济科目相匹配；</w:t>
      </w:r>
    </w:p>
    <w:p w14:paraId="59AE5ED7">
      <w:pPr>
        <w:spacing w:line="580" w:lineRule="exact"/>
        <w:ind w:left="210" w:leftChars="100" w:firstLine="320" w:firstLineChars="100"/>
        <w:rPr>
          <w:rFonts w:ascii="仿宋_GB2312" w:hAnsi="仿宋" w:eastAsia="仿宋_GB2312" w:cs="仿宋"/>
          <w:bCs/>
          <w:sz w:val="32"/>
          <w:szCs w:val="32"/>
        </w:rPr>
      </w:pPr>
      <w:r>
        <w:rPr>
          <w:rFonts w:hint="eastAsia" w:ascii="仿宋_GB2312" w:hAnsi="仿宋" w:eastAsia="仿宋_GB2312" w:cs="仿宋"/>
          <w:bCs/>
          <w:sz w:val="32"/>
          <w:szCs w:val="32"/>
        </w:rPr>
        <w:t>2、加强公务卡的使用，能够使用公务卡支付的尽量使用公务卡支付；</w:t>
      </w:r>
    </w:p>
    <w:p w14:paraId="1D9C66CE">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3、进一步完善单位财务管理制度，并做到严格执行。</w:t>
      </w:r>
    </w:p>
    <w:p w14:paraId="54CF3218">
      <w:pPr>
        <w:spacing w:line="580" w:lineRule="exact"/>
        <w:ind w:firstLine="640" w:firstLineChars="200"/>
        <w:rPr>
          <w:rFonts w:ascii="仿宋_GB2312" w:hAnsi="仿宋" w:eastAsia="仿宋_GB2312" w:cs="仿宋"/>
          <w:sz w:val="32"/>
          <w:szCs w:val="32"/>
        </w:rPr>
      </w:pPr>
    </w:p>
    <w:p w14:paraId="169A8CFC">
      <w:pPr>
        <w:ind w:firstLine="640" w:firstLineChars="200"/>
        <w:rPr>
          <w:rFonts w:ascii="仿宋_GB2312" w:eastAsia="仿宋_GB2312"/>
          <w:sz w:val="32"/>
          <w:szCs w:val="32"/>
        </w:rPr>
      </w:pPr>
      <w:r>
        <w:rPr>
          <w:rFonts w:hint="eastAsia" w:ascii="仿宋_GB2312" w:hAnsi="仿宋_GB2312" w:eastAsia="仿宋_GB2312" w:cs="仿宋_GB2312"/>
          <w:sz w:val="32"/>
          <w:szCs w:val="32"/>
        </w:rPr>
        <w:br w:type="page"/>
      </w:r>
    </w:p>
    <w:p w14:paraId="1566E874">
      <w:pPr>
        <w:spacing w:line="600" w:lineRule="exact"/>
        <w:jc w:val="center"/>
        <w:outlineLvl w:val="0"/>
        <w:rPr>
          <w:rStyle w:val="19"/>
          <w:rFonts w:ascii="黑体" w:hAnsi="黑体" w:eastAsia="黑体"/>
        </w:rPr>
      </w:pPr>
      <w:bookmarkStart w:id="23" w:name="_Toc15396618"/>
      <w:r>
        <w:rPr>
          <w:rFonts w:hint="eastAsia" w:ascii="黑体" w:hAnsi="黑体" w:eastAsia="黑体"/>
          <w:color w:val="000000"/>
          <w:sz w:val="44"/>
          <w:szCs w:val="44"/>
        </w:rPr>
        <w:t>第</w:t>
      </w:r>
      <w:r>
        <w:rPr>
          <w:rStyle w:val="19"/>
          <w:rFonts w:hint="eastAsia" w:ascii="黑体" w:hAnsi="黑体" w:eastAsia="黑体"/>
        </w:rPr>
        <w:t>五部分 附表</w:t>
      </w:r>
      <w:bookmarkEnd w:id="23"/>
      <w:bookmarkStart w:id="24" w:name="_Toc15396619"/>
    </w:p>
    <w:p w14:paraId="1BA6935D">
      <w:pPr>
        <w:spacing w:line="600" w:lineRule="exact"/>
        <w:jc w:val="left"/>
        <w:outlineLvl w:val="0"/>
        <w:rPr>
          <w:rStyle w:val="17"/>
          <w:rFonts w:ascii="仿宋" w:hAnsi="仿宋" w:eastAsia="仿宋"/>
        </w:rPr>
      </w:pPr>
      <w:r>
        <w:rPr>
          <w:rFonts w:hint="eastAsia" w:ascii="仿宋" w:hAnsi="仿宋" w:eastAsia="仿宋"/>
          <w:color w:val="000000"/>
          <w:sz w:val="32"/>
          <w:szCs w:val="32"/>
        </w:rPr>
        <w:t>一、收</w:t>
      </w:r>
      <w:r>
        <w:rPr>
          <w:rStyle w:val="17"/>
          <w:rFonts w:hint="eastAsia" w:ascii="仿宋" w:hAnsi="仿宋" w:eastAsia="仿宋"/>
        </w:rPr>
        <w:t>入支出决算总表</w:t>
      </w:r>
      <w:bookmarkEnd w:id="24"/>
      <w:bookmarkStart w:id="25" w:name="_Toc15396620"/>
    </w:p>
    <w:p w14:paraId="25057E08">
      <w:pPr>
        <w:spacing w:line="600" w:lineRule="exact"/>
        <w:jc w:val="left"/>
        <w:outlineLvl w:val="0"/>
        <w:rPr>
          <w:rFonts w:ascii="黑体" w:hAnsi="黑体" w:eastAsia="黑体" w:cs="Times New Roman"/>
          <w:b/>
          <w:bCs/>
          <w:kern w:val="44"/>
          <w:sz w:val="44"/>
          <w:szCs w:val="44"/>
        </w:rPr>
      </w:pPr>
      <w:r>
        <w:rPr>
          <w:rFonts w:hint="eastAsia" w:ascii="仿宋" w:hAnsi="仿宋" w:eastAsia="仿宋"/>
          <w:color w:val="000000"/>
          <w:sz w:val="32"/>
          <w:szCs w:val="32"/>
        </w:rPr>
        <w:t>二、收</w:t>
      </w:r>
      <w:r>
        <w:rPr>
          <w:rStyle w:val="17"/>
          <w:rFonts w:hint="eastAsia" w:ascii="仿宋" w:hAnsi="仿宋" w:eastAsia="仿宋"/>
        </w:rPr>
        <w:t>入总表</w:t>
      </w:r>
      <w:bookmarkEnd w:id="25"/>
    </w:p>
    <w:p w14:paraId="16627F85">
      <w:pPr>
        <w:pStyle w:val="3"/>
        <w:jc w:val="left"/>
        <w:rPr>
          <w:rFonts w:ascii="仿宋" w:hAnsi="仿宋" w:eastAsia="仿宋"/>
          <w:color w:val="000000"/>
        </w:rPr>
      </w:pPr>
      <w:bookmarkStart w:id="26" w:name="_Toc15396621"/>
      <w:r>
        <w:rPr>
          <w:rStyle w:val="17"/>
          <w:rFonts w:hint="eastAsia" w:ascii="仿宋" w:hAnsi="仿宋" w:eastAsia="仿宋"/>
          <w:b/>
          <w:bCs/>
        </w:rPr>
        <w:t>三、</w:t>
      </w:r>
      <w:r>
        <w:rPr>
          <w:rFonts w:hint="eastAsia" w:ascii="仿宋" w:hAnsi="仿宋" w:eastAsia="仿宋"/>
          <w:b w:val="0"/>
          <w:color w:val="000000"/>
        </w:rPr>
        <w:t>支</w:t>
      </w:r>
      <w:r>
        <w:rPr>
          <w:rStyle w:val="17"/>
          <w:rFonts w:hint="eastAsia" w:ascii="仿宋" w:hAnsi="仿宋" w:eastAsia="仿宋"/>
          <w:b/>
          <w:bCs/>
        </w:rPr>
        <w:t>出总表</w:t>
      </w:r>
      <w:bookmarkEnd w:id="26"/>
    </w:p>
    <w:p w14:paraId="6BBCB882">
      <w:pPr>
        <w:pStyle w:val="3"/>
        <w:jc w:val="left"/>
        <w:rPr>
          <w:rFonts w:ascii="仿宋" w:hAnsi="仿宋" w:eastAsia="仿宋"/>
          <w:b w:val="0"/>
          <w:color w:val="000000"/>
        </w:rPr>
      </w:pPr>
      <w:bookmarkStart w:id="27" w:name="_Toc15396622"/>
      <w:r>
        <w:rPr>
          <w:rStyle w:val="17"/>
          <w:rFonts w:hint="eastAsia" w:ascii="仿宋" w:hAnsi="仿宋" w:eastAsia="仿宋"/>
          <w:b/>
          <w:bCs/>
        </w:rPr>
        <w:t>四、</w:t>
      </w:r>
      <w:r>
        <w:rPr>
          <w:rFonts w:hint="eastAsia" w:ascii="仿宋" w:hAnsi="仿宋" w:eastAsia="仿宋"/>
          <w:b w:val="0"/>
          <w:color w:val="000000"/>
        </w:rPr>
        <w:t>财</w:t>
      </w:r>
      <w:r>
        <w:rPr>
          <w:rStyle w:val="17"/>
          <w:rFonts w:hint="eastAsia" w:ascii="仿宋" w:hAnsi="仿宋" w:eastAsia="仿宋"/>
          <w:b/>
          <w:bCs/>
        </w:rPr>
        <w:t>政拨款收入支出决算总表</w:t>
      </w:r>
      <w:bookmarkEnd w:id="27"/>
    </w:p>
    <w:p w14:paraId="3AA60756">
      <w:pPr>
        <w:pStyle w:val="3"/>
        <w:jc w:val="left"/>
        <w:rPr>
          <w:rFonts w:ascii="仿宋" w:hAnsi="仿宋" w:eastAsia="仿宋"/>
          <w:color w:val="000000"/>
        </w:rPr>
      </w:pPr>
      <w:bookmarkStart w:id="28" w:name="_Toc15396623"/>
      <w:r>
        <w:rPr>
          <w:rStyle w:val="17"/>
          <w:rFonts w:hint="eastAsia" w:ascii="仿宋" w:hAnsi="仿宋" w:eastAsia="仿宋"/>
          <w:b/>
          <w:bCs/>
        </w:rPr>
        <w:t>五、</w:t>
      </w:r>
      <w:r>
        <w:rPr>
          <w:rFonts w:hint="eastAsia" w:ascii="仿宋" w:hAnsi="仿宋" w:eastAsia="仿宋"/>
          <w:b w:val="0"/>
          <w:color w:val="000000"/>
        </w:rPr>
        <w:t>财</w:t>
      </w:r>
      <w:r>
        <w:rPr>
          <w:rStyle w:val="17"/>
          <w:rFonts w:hint="eastAsia" w:ascii="仿宋" w:hAnsi="仿宋" w:eastAsia="仿宋"/>
          <w:b/>
          <w:bCs/>
        </w:rPr>
        <w:t>政拨款支出决算明细表（政府经济分类科目）</w:t>
      </w:r>
      <w:bookmarkEnd w:id="28"/>
    </w:p>
    <w:p w14:paraId="281B221D">
      <w:pPr>
        <w:pStyle w:val="3"/>
        <w:jc w:val="left"/>
        <w:rPr>
          <w:rFonts w:ascii="仿宋" w:hAnsi="仿宋" w:eastAsia="仿宋"/>
          <w:color w:val="000000"/>
        </w:rPr>
      </w:pPr>
      <w:bookmarkStart w:id="29" w:name="_Toc15396624"/>
      <w:r>
        <w:rPr>
          <w:rStyle w:val="17"/>
          <w:rFonts w:hint="eastAsia" w:ascii="仿宋" w:hAnsi="仿宋" w:eastAsia="仿宋"/>
          <w:b/>
          <w:bCs/>
        </w:rPr>
        <w:t>六、</w:t>
      </w:r>
      <w:r>
        <w:rPr>
          <w:rFonts w:hint="eastAsia" w:ascii="仿宋" w:hAnsi="仿宋" w:eastAsia="仿宋"/>
          <w:b w:val="0"/>
          <w:color w:val="000000"/>
        </w:rPr>
        <w:t>一</w:t>
      </w:r>
      <w:r>
        <w:rPr>
          <w:rStyle w:val="17"/>
          <w:rFonts w:hint="eastAsia" w:ascii="仿宋" w:hAnsi="仿宋" w:eastAsia="仿宋"/>
          <w:b/>
          <w:bCs/>
        </w:rPr>
        <w:t>般公共预算财政拨款支出决算表</w:t>
      </w:r>
      <w:bookmarkEnd w:id="29"/>
    </w:p>
    <w:p w14:paraId="45BB8374">
      <w:pPr>
        <w:pStyle w:val="3"/>
        <w:jc w:val="left"/>
        <w:rPr>
          <w:rFonts w:ascii="仿宋" w:hAnsi="仿宋" w:eastAsia="仿宋"/>
          <w:color w:val="000000"/>
        </w:rPr>
      </w:pPr>
      <w:bookmarkStart w:id="30" w:name="_Toc15396625"/>
      <w:r>
        <w:rPr>
          <w:rStyle w:val="17"/>
          <w:rFonts w:hint="eastAsia" w:ascii="仿宋" w:hAnsi="仿宋" w:eastAsia="仿宋"/>
          <w:b/>
          <w:bCs/>
        </w:rPr>
        <w:t>七、</w:t>
      </w:r>
      <w:r>
        <w:rPr>
          <w:rFonts w:hint="eastAsia" w:ascii="仿宋" w:hAnsi="仿宋" w:eastAsia="仿宋"/>
          <w:b w:val="0"/>
          <w:color w:val="000000"/>
        </w:rPr>
        <w:t>一</w:t>
      </w:r>
      <w:r>
        <w:rPr>
          <w:rStyle w:val="17"/>
          <w:rFonts w:hint="eastAsia" w:ascii="仿宋" w:hAnsi="仿宋" w:eastAsia="仿宋"/>
          <w:b/>
          <w:bCs/>
        </w:rPr>
        <w:t>般公共预算财政拨款支出决算明细表</w:t>
      </w:r>
      <w:bookmarkEnd w:id="30"/>
    </w:p>
    <w:p w14:paraId="33E9887E">
      <w:pPr>
        <w:pStyle w:val="3"/>
        <w:jc w:val="left"/>
        <w:rPr>
          <w:rFonts w:ascii="仿宋" w:hAnsi="仿宋" w:eastAsia="仿宋"/>
          <w:color w:val="000000"/>
        </w:rPr>
      </w:pPr>
      <w:bookmarkStart w:id="31" w:name="_Toc15396626"/>
      <w:r>
        <w:rPr>
          <w:rStyle w:val="17"/>
          <w:rFonts w:hint="eastAsia" w:ascii="仿宋" w:hAnsi="仿宋" w:eastAsia="仿宋"/>
          <w:b/>
          <w:bCs/>
        </w:rPr>
        <w:t>八、</w:t>
      </w:r>
      <w:r>
        <w:rPr>
          <w:rFonts w:hint="eastAsia" w:ascii="仿宋" w:hAnsi="仿宋" w:eastAsia="仿宋"/>
          <w:b w:val="0"/>
          <w:color w:val="000000"/>
        </w:rPr>
        <w:t>一</w:t>
      </w:r>
      <w:r>
        <w:rPr>
          <w:rStyle w:val="17"/>
          <w:rFonts w:hint="eastAsia" w:ascii="仿宋" w:hAnsi="仿宋" w:eastAsia="仿宋"/>
          <w:b/>
          <w:bCs/>
        </w:rPr>
        <w:t>般公共预算财政拨款基本支出决算表</w:t>
      </w:r>
      <w:bookmarkEnd w:id="31"/>
    </w:p>
    <w:p w14:paraId="6FB59B88">
      <w:pPr>
        <w:pStyle w:val="3"/>
        <w:jc w:val="left"/>
        <w:rPr>
          <w:rFonts w:ascii="仿宋" w:hAnsi="仿宋" w:eastAsia="仿宋"/>
          <w:color w:val="000000"/>
        </w:rPr>
      </w:pPr>
      <w:bookmarkStart w:id="32" w:name="_Toc15396627"/>
      <w:r>
        <w:rPr>
          <w:rStyle w:val="17"/>
          <w:rFonts w:hint="eastAsia" w:ascii="仿宋" w:hAnsi="仿宋" w:eastAsia="仿宋"/>
          <w:b/>
          <w:bCs/>
        </w:rPr>
        <w:t>九、</w:t>
      </w:r>
      <w:r>
        <w:rPr>
          <w:rFonts w:hint="eastAsia" w:ascii="仿宋" w:hAnsi="仿宋" w:eastAsia="仿宋"/>
          <w:b w:val="0"/>
          <w:color w:val="000000"/>
        </w:rPr>
        <w:t>一</w:t>
      </w:r>
      <w:r>
        <w:rPr>
          <w:rStyle w:val="17"/>
          <w:rFonts w:hint="eastAsia" w:ascii="仿宋" w:hAnsi="仿宋" w:eastAsia="仿宋"/>
          <w:b/>
          <w:bCs/>
        </w:rPr>
        <w:t>般公共预算财政拨款项目支出决算表</w:t>
      </w:r>
      <w:bookmarkEnd w:id="32"/>
    </w:p>
    <w:p w14:paraId="146E0224">
      <w:pPr>
        <w:pStyle w:val="3"/>
        <w:jc w:val="left"/>
        <w:rPr>
          <w:rFonts w:ascii="仿宋" w:hAnsi="仿宋" w:eastAsia="仿宋"/>
          <w:color w:val="000000"/>
        </w:rPr>
      </w:pPr>
      <w:bookmarkStart w:id="33" w:name="_Toc15396628"/>
      <w:r>
        <w:rPr>
          <w:rStyle w:val="17"/>
          <w:rFonts w:hint="eastAsia" w:ascii="仿宋" w:hAnsi="仿宋" w:eastAsia="仿宋"/>
          <w:b/>
          <w:bCs/>
        </w:rPr>
        <w:t>十、</w:t>
      </w:r>
      <w:r>
        <w:rPr>
          <w:rFonts w:hint="eastAsia" w:ascii="仿宋" w:hAnsi="仿宋" w:eastAsia="仿宋"/>
          <w:b w:val="0"/>
          <w:color w:val="000000"/>
        </w:rPr>
        <w:t>一</w:t>
      </w:r>
      <w:r>
        <w:rPr>
          <w:rStyle w:val="17"/>
          <w:rFonts w:hint="eastAsia" w:ascii="仿宋" w:hAnsi="仿宋" w:eastAsia="仿宋"/>
          <w:b/>
          <w:bCs/>
        </w:rPr>
        <w:t>般公共预算财政拨款“三公”经费支出决算表</w:t>
      </w:r>
      <w:bookmarkEnd w:id="33"/>
    </w:p>
    <w:p w14:paraId="271B91FF">
      <w:pPr>
        <w:pStyle w:val="3"/>
        <w:jc w:val="left"/>
        <w:rPr>
          <w:rFonts w:ascii="仿宋" w:hAnsi="仿宋" w:eastAsia="仿宋"/>
          <w:color w:val="000000"/>
        </w:rPr>
      </w:pPr>
      <w:bookmarkStart w:id="34" w:name="_Toc15396629"/>
      <w:r>
        <w:rPr>
          <w:rStyle w:val="17"/>
          <w:rFonts w:hint="eastAsia" w:ascii="仿宋" w:hAnsi="仿宋" w:eastAsia="仿宋"/>
          <w:b/>
          <w:bCs/>
        </w:rPr>
        <w:t>十一、</w:t>
      </w:r>
      <w:r>
        <w:rPr>
          <w:rFonts w:hint="eastAsia" w:ascii="仿宋" w:hAnsi="仿宋" w:eastAsia="仿宋"/>
          <w:b w:val="0"/>
          <w:color w:val="000000"/>
        </w:rPr>
        <w:t>政</w:t>
      </w:r>
      <w:r>
        <w:rPr>
          <w:rStyle w:val="17"/>
          <w:rFonts w:hint="eastAsia" w:ascii="仿宋" w:hAnsi="仿宋" w:eastAsia="仿宋"/>
          <w:b/>
          <w:bCs/>
        </w:rPr>
        <w:t>府性基金预算财政拨款收入支出决算表</w:t>
      </w:r>
      <w:bookmarkEnd w:id="34"/>
    </w:p>
    <w:p w14:paraId="0D2291AE">
      <w:pPr>
        <w:pStyle w:val="3"/>
        <w:jc w:val="left"/>
        <w:rPr>
          <w:rFonts w:ascii="仿宋" w:hAnsi="仿宋" w:eastAsia="仿宋"/>
          <w:color w:val="000000"/>
        </w:rPr>
      </w:pPr>
      <w:bookmarkStart w:id="35" w:name="_Toc15396630"/>
      <w:r>
        <w:rPr>
          <w:rStyle w:val="17"/>
          <w:rFonts w:hint="eastAsia" w:ascii="仿宋" w:hAnsi="仿宋" w:eastAsia="仿宋"/>
          <w:b/>
          <w:bCs/>
        </w:rPr>
        <w:t>十二、</w:t>
      </w:r>
      <w:r>
        <w:rPr>
          <w:rFonts w:hint="eastAsia" w:ascii="仿宋" w:hAnsi="仿宋" w:eastAsia="仿宋"/>
          <w:b w:val="0"/>
          <w:color w:val="000000"/>
        </w:rPr>
        <w:t>政</w:t>
      </w:r>
      <w:r>
        <w:rPr>
          <w:rStyle w:val="17"/>
          <w:rFonts w:hint="eastAsia" w:ascii="仿宋" w:hAnsi="仿宋" w:eastAsia="仿宋"/>
          <w:b/>
          <w:bCs/>
        </w:rPr>
        <w:t>府性基金预算财政拨款“三公”经费支出决算表</w:t>
      </w:r>
      <w:bookmarkEnd w:id="35"/>
    </w:p>
    <w:p w14:paraId="5BFBC90E">
      <w:pPr>
        <w:pStyle w:val="3"/>
        <w:jc w:val="left"/>
        <w:rPr>
          <w:rFonts w:ascii="仿宋" w:hAnsi="仿宋" w:eastAsia="仿宋"/>
          <w:color w:val="000000"/>
        </w:rPr>
      </w:pPr>
      <w:bookmarkStart w:id="36" w:name="_Toc15396631"/>
      <w:r>
        <w:rPr>
          <w:rStyle w:val="17"/>
          <w:rFonts w:hint="eastAsia" w:ascii="仿宋" w:hAnsi="仿宋" w:eastAsia="仿宋"/>
          <w:b/>
          <w:bCs/>
        </w:rPr>
        <w:t>十三、</w:t>
      </w:r>
      <w:r>
        <w:rPr>
          <w:rFonts w:hint="eastAsia" w:ascii="仿宋" w:hAnsi="仿宋" w:eastAsia="仿宋"/>
          <w:b w:val="0"/>
          <w:color w:val="000000"/>
        </w:rPr>
        <w:t>国</w:t>
      </w:r>
      <w:r>
        <w:rPr>
          <w:rStyle w:val="17"/>
          <w:rFonts w:hint="eastAsia" w:ascii="仿宋" w:hAnsi="仿宋" w:eastAsia="仿宋"/>
          <w:b/>
          <w:bCs/>
        </w:rPr>
        <w:t>有资本经营预算支出决算表</w:t>
      </w:r>
      <w:bookmarkEnd w:id="36"/>
    </w:p>
    <w:p w14:paraId="616554AB">
      <w:pPr>
        <w:jc w:val="left"/>
        <w:rPr>
          <w:rFonts w:ascii="仿宋_GB2312" w:eastAsia="仿宋_GB2312"/>
          <w:sz w:val="32"/>
          <w:szCs w:val="32"/>
        </w:rPr>
      </w:pPr>
    </w:p>
    <w:sectPr>
      <w:headerReference r:id="rId3"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50B508-C80F-4F50-9093-B0B6276C2C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06F6A73-4B33-4816-8D35-8CC643949BEE}"/>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CD3F8B7B-ADB4-415D-8774-5F0A42DDC437}"/>
  </w:font>
  <w:font w:name="仿宋">
    <w:panose1 w:val="02010609060101010101"/>
    <w:charset w:val="86"/>
    <w:family w:val="auto"/>
    <w:pitch w:val="default"/>
    <w:sig w:usb0="800002BF" w:usb1="38CF7CFA" w:usb2="00000016" w:usb3="00000000" w:csb0="00040001" w:csb1="00000000"/>
    <w:embedRegular r:id="rId4" w:fontKey="{D5A328DE-A71F-495A-B13B-8412EF1F1040}"/>
  </w:font>
  <w:font w:name="??">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embedRegular r:id="rId5" w:fontKey="{4B83416E-C809-43E1-9A54-4B736CD0F3C1}"/>
  </w:font>
  <w:font w:name="方正小标宋简体">
    <w:panose1 w:val="02000000000000000000"/>
    <w:charset w:val="86"/>
    <w:family w:val="script"/>
    <w:pitch w:val="default"/>
    <w:sig w:usb0="00000001" w:usb1="08000000" w:usb2="00000000" w:usb3="00000000" w:csb0="00040000" w:csb1="00000000"/>
    <w:embedRegular r:id="rId6" w:fontKey="{35567C4C-47A9-455D-9650-5ECF3F195C12}"/>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D3977">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F4D12CBA"/>
    <w:multiLevelType w:val="singleLevel"/>
    <w:tmpl w:val="F4D12CBA"/>
    <w:lvl w:ilvl="0" w:tentative="0">
      <w:start w:val="1"/>
      <w:numFmt w:val="decimal"/>
      <w:lvlText w:val="%1."/>
      <w:lvlJc w:val="left"/>
      <w:pPr>
        <w:tabs>
          <w:tab w:val="left" w:pos="312"/>
        </w:tabs>
      </w:pPr>
    </w:lvl>
  </w:abstractNum>
  <w:abstractNum w:abstractNumId="4">
    <w:nsid w:val="030A6A9B"/>
    <w:multiLevelType w:val="singleLevel"/>
    <w:tmpl w:val="030A6A9B"/>
    <w:lvl w:ilvl="0" w:tentative="0">
      <w:start w:val="2"/>
      <w:numFmt w:val="decimal"/>
      <w:lvlText w:val="%1."/>
      <w:lvlJc w:val="left"/>
      <w:pPr>
        <w:tabs>
          <w:tab w:val="left" w:pos="312"/>
        </w:tabs>
      </w:pPr>
    </w:lvl>
  </w:abstractNum>
  <w:abstractNum w:abstractNumId="5">
    <w:nsid w:val="4348F21E"/>
    <w:multiLevelType w:val="singleLevel"/>
    <w:tmpl w:val="4348F21E"/>
    <w:lvl w:ilvl="0" w:tentative="0">
      <w:start w:val="2"/>
      <w:numFmt w:val="chineseCounting"/>
      <w:suff w:val="nothing"/>
      <w:lvlText w:val="（%1）"/>
      <w:lvlJc w:val="left"/>
      <w:rPr>
        <w:rFonts w:hint="eastAsia"/>
        <w:lang w:val="en-US"/>
      </w:rPr>
    </w:lvl>
  </w:abstractNum>
  <w:abstractNum w:abstractNumId="6">
    <w:nsid w:val="6DA65201"/>
    <w:multiLevelType w:val="singleLevel"/>
    <w:tmpl w:val="6DA65201"/>
    <w:lvl w:ilvl="0" w:tentative="0">
      <w:start w:val="2"/>
      <w:numFmt w:val="chineseCounting"/>
      <w:suff w:val="nothing"/>
      <w:lvlText w:val="（%1）"/>
      <w:lvlJc w:val="left"/>
      <w:rPr>
        <w:rFonts w:hint="eastAsia"/>
      </w:r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E25534"/>
    <w:rsid w:val="00000B3E"/>
    <w:rsid w:val="00023072"/>
    <w:rsid w:val="000A4C2E"/>
    <w:rsid w:val="000B1E5D"/>
    <w:rsid w:val="000C1A23"/>
    <w:rsid w:val="000D5046"/>
    <w:rsid w:val="000E3C1C"/>
    <w:rsid w:val="00100E34"/>
    <w:rsid w:val="0011425B"/>
    <w:rsid w:val="001155EC"/>
    <w:rsid w:val="00123615"/>
    <w:rsid w:val="00131C25"/>
    <w:rsid w:val="00134ED1"/>
    <w:rsid w:val="0014671E"/>
    <w:rsid w:val="00147707"/>
    <w:rsid w:val="001661F1"/>
    <w:rsid w:val="00170DAE"/>
    <w:rsid w:val="00172E08"/>
    <w:rsid w:val="00176AA4"/>
    <w:rsid w:val="001A724E"/>
    <w:rsid w:val="001E3FE3"/>
    <w:rsid w:val="00200CB1"/>
    <w:rsid w:val="00201BE4"/>
    <w:rsid w:val="002024D5"/>
    <w:rsid w:val="00204D1F"/>
    <w:rsid w:val="00207DDC"/>
    <w:rsid w:val="002134E8"/>
    <w:rsid w:val="00217AB8"/>
    <w:rsid w:val="00220385"/>
    <w:rsid w:val="00224F8C"/>
    <w:rsid w:val="00232BA2"/>
    <w:rsid w:val="00245975"/>
    <w:rsid w:val="00250F52"/>
    <w:rsid w:val="0025499E"/>
    <w:rsid w:val="00260C94"/>
    <w:rsid w:val="00261677"/>
    <w:rsid w:val="00264639"/>
    <w:rsid w:val="00281307"/>
    <w:rsid w:val="002823F7"/>
    <w:rsid w:val="002D63E9"/>
    <w:rsid w:val="002F01D4"/>
    <w:rsid w:val="003074AD"/>
    <w:rsid w:val="00324654"/>
    <w:rsid w:val="00345891"/>
    <w:rsid w:val="00352999"/>
    <w:rsid w:val="00363BC8"/>
    <w:rsid w:val="003740AD"/>
    <w:rsid w:val="00384122"/>
    <w:rsid w:val="0038433D"/>
    <w:rsid w:val="003A6CA4"/>
    <w:rsid w:val="003C59FF"/>
    <w:rsid w:val="003C5A5C"/>
    <w:rsid w:val="003D0F72"/>
    <w:rsid w:val="003F5AB3"/>
    <w:rsid w:val="00414BF3"/>
    <w:rsid w:val="00416211"/>
    <w:rsid w:val="00417C29"/>
    <w:rsid w:val="0042280A"/>
    <w:rsid w:val="00436E61"/>
    <w:rsid w:val="00442479"/>
    <w:rsid w:val="00447348"/>
    <w:rsid w:val="00476167"/>
    <w:rsid w:val="004775D3"/>
    <w:rsid w:val="00483B50"/>
    <w:rsid w:val="004B13C3"/>
    <w:rsid w:val="004B3992"/>
    <w:rsid w:val="004C42DB"/>
    <w:rsid w:val="004E3B83"/>
    <w:rsid w:val="004F2478"/>
    <w:rsid w:val="004F7F72"/>
    <w:rsid w:val="005026DA"/>
    <w:rsid w:val="005047E2"/>
    <w:rsid w:val="005061CC"/>
    <w:rsid w:val="005122A9"/>
    <w:rsid w:val="0051352F"/>
    <w:rsid w:val="005554BA"/>
    <w:rsid w:val="005738A6"/>
    <w:rsid w:val="00584692"/>
    <w:rsid w:val="005A042E"/>
    <w:rsid w:val="005A6153"/>
    <w:rsid w:val="005C2AD6"/>
    <w:rsid w:val="005C7133"/>
    <w:rsid w:val="00605FA7"/>
    <w:rsid w:val="00610423"/>
    <w:rsid w:val="00636D85"/>
    <w:rsid w:val="006464DC"/>
    <w:rsid w:val="006E698D"/>
    <w:rsid w:val="006F1B0F"/>
    <w:rsid w:val="006F4480"/>
    <w:rsid w:val="00700B3E"/>
    <w:rsid w:val="00744A2A"/>
    <w:rsid w:val="00760F5C"/>
    <w:rsid w:val="00780A4C"/>
    <w:rsid w:val="007B2D08"/>
    <w:rsid w:val="007B32EA"/>
    <w:rsid w:val="007D061D"/>
    <w:rsid w:val="007D41A7"/>
    <w:rsid w:val="007D633C"/>
    <w:rsid w:val="007E1887"/>
    <w:rsid w:val="007E3A40"/>
    <w:rsid w:val="007F653C"/>
    <w:rsid w:val="00804D10"/>
    <w:rsid w:val="00812ADB"/>
    <w:rsid w:val="008621A0"/>
    <w:rsid w:val="00875A43"/>
    <w:rsid w:val="008777CF"/>
    <w:rsid w:val="00895631"/>
    <w:rsid w:val="008A0300"/>
    <w:rsid w:val="008A649A"/>
    <w:rsid w:val="008C09C7"/>
    <w:rsid w:val="008C5DB9"/>
    <w:rsid w:val="008D1226"/>
    <w:rsid w:val="008D1CDC"/>
    <w:rsid w:val="008D7C3D"/>
    <w:rsid w:val="009063FC"/>
    <w:rsid w:val="009209C2"/>
    <w:rsid w:val="00952A69"/>
    <w:rsid w:val="0096228F"/>
    <w:rsid w:val="009842DD"/>
    <w:rsid w:val="00985A43"/>
    <w:rsid w:val="00991F13"/>
    <w:rsid w:val="009A4800"/>
    <w:rsid w:val="009A4976"/>
    <w:rsid w:val="009C3121"/>
    <w:rsid w:val="009E7265"/>
    <w:rsid w:val="00A21AD0"/>
    <w:rsid w:val="00A22896"/>
    <w:rsid w:val="00A27FBD"/>
    <w:rsid w:val="00A40FDF"/>
    <w:rsid w:val="00A51032"/>
    <w:rsid w:val="00A740F8"/>
    <w:rsid w:val="00A7764C"/>
    <w:rsid w:val="00AA1E9A"/>
    <w:rsid w:val="00AB1A4B"/>
    <w:rsid w:val="00AD36FC"/>
    <w:rsid w:val="00AE67DC"/>
    <w:rsid w:val="00B01198"/>
    <w:rsid w:val="00B0498D"/>
    <w:rsid w:val="00B179E7"/>
    <w:rsid w:val="00B30E8B"/>
    <w:rsid w:val="00B41FE1"/>
    <w:rsid w:val="00B86091"/>
    <w:rsid w:val="00B958A1"/>
    <w:rsid w:val="00B95EF5"/>
    <w:rsid w:val="00BB50F8"/>
    <w:rsid w:val="00BD2BB6"/>
    <w:rsid w:val="00BD7C66"/>
    <w:rsid w:val="00BE7FBD"/>
    <w:rsid w:val="00BF506C"/>
    <w:rsid w:val="00C06581"/>
    <w:rsid w:val="00C1498B"/>
    <w:rsid w:val="00C47A85"/>
    <w:rsid w:val="00C76621"/>
    <w:rsid w:val="00C843DD"/>
    <w:rsid w:val="00CD2029"/>
    <w:rsid w:val="00CD5453"/>
    <w:rsid w:val="00CE32B8"/>
    <w:rsid w:val="00CE68D2"/>
    <w:rsid w:val="00D039F4"/>
    <w:rsid w:val="00D17B30"/>
    <w:rsid w:val="00D245DF"/>
    <w:rsid w:val="00D27FBC"/>
    <w:rsid w:val="00D37729"/>
    <w:rsid w:val="00D75D23"/>
    <w:rsid w:val="00D83610"/>
    <w:rsid w:val="00D857E3"/>
    <w:rsid w:val="00DA1250"/>
    <w:rsid w:val="00DA29E6"/>
    <w:rsid w:val="00DB5BD9"/>
    <w:rsid w:val="00DC3CEB"/>
    <w:rsid w:val="00E16FF1"/>
    <w:rsid w:val="00E25534"/>
    <w:rsid w:val="00E33A76"/>
    <w:rsid w:val="00E3404A"/>
    <w:rsid w:val="00E46325"/>
    <w:rsid w:val="00E939AE"/>
    <w:rsid w:val="00EC3FF3"/>
    <w:rsid w:val="00ED63B2"/>
    <w:rsid w:val="00EE58D8"/>
    <w:rsid w:val="00F10ED6"/>
    <w:rsid w:val="00F15D06"/>
    <w:rsid w:val="00F33BF4"/>
    <w:rsid w:val="00F4711A"/>
    <w:rsid w:val="00F62AE6"/>
    <w:rsid w:val="00F70B14"/>
    <w:rsid w:val="00F74CDF"/>
    <w:rsid w:val="00F878DA"/>
    <w:rsid w:val="00FA735B"/>
    <w:rsid w:val="00FB0544"/>
    <w:rsid w:val="00FC0D33"/>
    <w:rsid w:val="00FC26B4"/>
    <w:rsid w:val="00FC2EB8"/>
    <w:rsid w:val="00FC541B"/>
    <w:rsid w:val="00FE4F3E"/>
    <w:rsid w:val="00FE7E80"/>
    <w:rsid w:val="05EC5496"/>
    <w:rsid w:val="0B3E119E"/>
    <w:rsid w:val="181346C5"/>
    <w:rsid w:val="303E4636"/>
    <w:rsid w:val="3A172478"/>
    <w:rsid w:val="65F7008D"/>
    <w:rsid w:val="78D07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2"/>
    <w:qFormat/>
    <w:uiPriority w:val="99"/>
    <w:pPr>
      <w:spacing w:beforeLines="30"/>
    </w:pPr>
    <w:rPr>
      <w:rFonts w:ascii="仿宋_GB2312" w:hAnsi="Times New Roman" w:eastAsia="仿宋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spacing w:before="93"/>
      <w:jc w:val="center"/>
    </w:pPr>
    <w:rPr>
      <w:rFonts w:ascii="仿宋" w:hAnsi="仿宋" w:eastAsia="仿宋" w:cs="Times New Roman"/>
      <w:sz w:val="28"/>
      <w:szCs w:val="28"/>
    </w:rPr>
  </w:style>
  <w:style w:type="paragraph" w:styleId="9">
    <w:name w:val="toc 2"/>
    <w:basedOn w:val="1"/>
    <w:next w:val="1"/>
    <w:unhideWhenUsed/>
    <w:qFormat/>
    <w:uiPriority w:val="39"/>
    <w:pPr>
      <w:tabs>
        <w:tab w:val="right" w:leader="dot" w:pos="8296"/>
      </w:tabs>
      <w:ind w:left="420" w:leftChars="200"/>
    </w:pPr>
    <w:rPr>
      <w:rFonts w:ascii="Times New Roman" w:hAnsi="Times New Roman" w:eastAsia="宋体" w:cs="Times New Roman"/>
      <w:szCs w:val="24"/>
    </w:rPr>
  </w:style>
  <w:style w:type="character" w:styleId="12">
    <w:name w:val="Strong"/>
    <w:basedOn w:val="11"/>
    <w:qFormat/>
    <w:uiPriority w:val="99"/>
    <w:rPr>
      <w:b/>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批注框文本 Char"/>
    <w:basedOn w:val="11"/>
    <w:link w:val="5"/>
    <w:semiHidden/>
    <w:qFormat/>
    <w:uiPriority w:val="99"/>
    <w:rPr>
      <w:sz w:val="18"/>
      <w:szCs w:val="18"/>
    </w:rPr>
  </w:style>
  <w:style w:type="character" w:customStyle="1" w:styleId="15">
    <w:name w:val="页眉 Char"/>
    <w:basedOn w:val="11"/>
    <w:link w:val="7"/>
    <w:semiHidden/>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标题 2 Char"/>
    <w:basedOn w:val="11"/>
    <w:link w:val="3"/>
    <w:qFormat/>
    <w:uiPriority w:val="9"/>
    <w:rPr>
      <w:rFonts w:asciiTheme="majorHAnsi" w:hAnsiTheme="majorHAnsi" w:eastAsiaTheme="majorEastAsia" w:cstheme="majorBidi"/>
      <w:b/>
      <w:bCs/>
      <w:sz w:val="32"/>
      <w:szCs w:val="32"/>
    </w:rPr>
  </w:style>
  <w:style w:type="paragraph" w:customStyle="1" w:styleId="18">
    <w:name w:val="列出段落1"/>
    <w:basedOn w:val="1"/>
    <w:qFormat/>
    <w:uiPriority w:val="34"/>
    <w:pPr>
      <w:ind w:firstLine="420" w:firstLineChars="200"/>
    </w:pPr>
    <w:rPr>
      <w:rFonts w:ascii="Times New Roman" w:hAnsi="Times New Roman" w:eastAsia="宋体" w:cs="Times New Roman"/>
      <w:szCs w:val="24"/>
    </w:rPr>
  </w:style>
  <w:style w:type="character" w:customStyle="1" w:styleId="19">
    <w:name w:val="标题 1 Char"/>
    <w:basedOn w:val="11"/>
    <w:link w:val="2"/>
    <w:qFormat/>
    <w:uiPriority w:val="9"/>
    <w:rPr>
      <w:rFonts w:ascii="Times New Roman" w:hAnsi="Times New Roman" w:eastAsia="宋体" w:cs="Times New Roman"/>
      <w:b/>
      <w:bCs/>
      <w:kern w:val="44"/>
      <w:sz w:val="44"/>
      <w:szCs w:val="44"/>
    </w:rPr>
  </w:style>
  <w:style w:type="paragraph" w:customStyle="1" w:styleId="2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1">
    <w:name w:val="正文文本 Char"/>
    <w:link w:val="4"/>
    <w:qFormat/>
    <w:locked/>
    <w:uiPriority w:val="99"/>
    <w:rPr>
      <w:rFonts w:ascii="仿宋_GB2312" w:hAnsi="Times New Roman" w:eastAsia="仿宋_GB2312"/>
      <w:sz w:val="24"/>
    </w:rPr>
  </w:style>
  <w:style w:type="character" w:customStyle="1" w:styleId="22">
    <w:name w:val="正文文本 Char1"/>
    <w:basedOn w:val="11"/>
    <w:link w:val="4"/>
    <w:semiHidden/>
    <w:qFormat/>
    <w:uiPriority w:val="99"/>
  </w:style>
  <w:style w:type="paragraph" w:styleId="23">
    <w:name w:val="List Paragraph"/>
    <w:basedOn w:val="1"/>
    <w:qFormat/>
    <w:uiPriority w:val="34"/>
    <w:pPr>
      <w:ind w:firstLine="420" w:firstLineChars="200"/>
    </w:pPr>
  </w:style>
  <w:style w:type="character" w:customStyle="1" w:styleId="24">
    <w:name w:val="四号正文 Char"/>
    <w:link w:val="25"/>
    <w:qFormat/>
    <w:uiPriority w:val="0"/>
    <w:rPr>
      <w:rFonts w:ascii="??" w:hAnsi="??" w:eastAsia="宋体" w:cs="宋体"/>
      <w:color w:val="000000"/>
      <w:sz w:val="28"/>
      <w:szCs w:val="21"/>
    </w:rPr>
  </w:style>
  <w:style w:type="paragraph" w:customStyle="1" w:styleId="25">
    <w:name w:val="四号正文"/>
    <w:basedOn w:val="1"/>
    <w:link w:val="24"/>
    <w:qFormat/>
    <w:uiPriority w:val="0"/>
    <w:pPr>
      <w:spacing w:line="360" w:lineRule="auto"/>
    </w:pPr>
    <w:rPr>
      <w:rFonts w:ascii="??" w:hAnsi="??" w:eastAsia="宋体" w:cs="宋体"/>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s\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PC-20170825KBKU\Desktop\Book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Documen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0" i="0" u="none" strike="noStrike" kern="1200" baseline="0">
                <a:solidFill>
                  <a:schemeClr val="tx1"/>
                </a:solidFill>
                <a:latin typeface="+mn-lt"/>
                <a:ea typeface="+mn-ea"/>
                <a:cs typeface="+mn-cs"/>
              </a:defRPr>
            </a:pPr>
            <a:r>
              <a:rPr lang="zh-CN" altLang="en-US" b="0"/>
              <a:t>收支总计</a:t>
            </a:r>
            <a:endParaRPr lang="zh-CN" altLang="en-US" b="0"/>
          </a:p>
        </c:rich>
      </c:tx>
      <c:layout/>
      <c:overlay val="0"/>
    </c:title>
    <c:autoTitleDeleted val="0"/>
    <c:plotArea>
      <c:layout/>
      <c:barChart>
        <c:barDir val="col"/>
        <c:grouping val="stacked"/>
        <c:varyColors val="0"/>
        <c:ser>
          <c:idx val="0"/>
          <c:order val="0"/>
          <c:invertIfNegative val="0"/>
          <c:dLbls>
            <c:delete val="1"/>
          </c:dLbls>
          <c:cat>
            <c:strRef>
              <c:f>Sheet1!$A$24:$A$25</c:f>
              <c:strCache>
                <c:ptCount val="2"/>
                <c:pt idx="0">
                  <c:v>2017年</c:v>
                </c:pt>
                <c:pt idx="1">
                  <c:v>2018年</c:v>
                </c:pt>
              </c:strCache>
            </c:strRef>
          </c:cat>
          <c:val>
            <c:numRef>
              <c:f>Sheet1!$B$24:$B$25</c:f>
              <c:numCache>
                <c:formatCode>General</c:formatCode>
                <c:ptCount val="2"/>
                <c:pt idx="0">
                  <c:v>1347.08</c:v>
                </c:pt>
                <c:pt idx="1">
                  <c:v>1436.45</c:v>
                </c:pt>
              </c:numCache>
            </c:numRef>
          </c:val>
        </c:ser>
        <c:dLbls>
          <c:showLegendKey val="0"/>
          <c:showVal val="0"/>
          <c:showCatName val="0"/>
          <c:showSerName val="0"/>
          <c:showPercent val="0"/>
          <c:showBubbleSize val="0"/>
        </c:dLbls>
        <c:gapWidth val="55"/>
        <c:overlap val="100"/>
        <c:axId val="46091648"/>
        <c:axId val="46228608"/>
      </c:barChart>
      <c:catAx>
        <c:axId val="4609164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6228608"/>
        <c:crosses val="autoZero"/>
        <c:auto val="1"/>
        <c:lblAlgn val="ctr"/>
        <c:lblOffset val="100"/>
        <c:noMultiLvlLbl val="0"/>
      </c:catAx>
      <c:valAx>
        <c:axId val="462286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609164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rot="0" spcFirstLastPara="0" vertOverflow="ellipsis" vert="horz" wrap="square" anchor="ctr" anchorCtr="1"/>
          <a:lstStyle/>
          <a:p>
            <a:pPr>
              <a:defRPr lang="zh-CN" sz="1800" b="0" i="0" u="none" strike="noStrike" kern="1200" baseline="0">
                <a:solidFill>
                  <a:schemeClr val="tx1"/>
                </a:solidFill>
                <a:latin typeface="+mn-lt"/>
                <a:ea typeface="+mn-ea"/>
                <a:cs typeface="+mn-cs"/>
              </a:defRPr>
            </a:pPr>
            <a:r>
              <a:rPr lang="zh-CN" b="0"/>
              <a:t>收入比重</a:t>
            </a:r>
            <a:endParaRPr lang="zh-CN" b="0"/>
          </a:p>
        </c:rich>
      </c:tx>
      <c:layout>
        <c:manualLayout>
          <c:xMode val="edge"/>
          <c:yMode val="edge"/>
          <c:x val="0.388500000000001"/>
          <c:y val="0.0231481481481481"/>
        </c:manualLayout>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Sheet1!$A$3:$A$9</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Sheet1!$B$3:$B$9</c:f>
              <c:numCache>
                <c:formatCode>General</c:formatCode>
                <c:ptCount val="7"/>
                <c:pt idx="0">
                  <c:v>1436.45</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rot="0" spcFirstLastPara="0" vertOverflow="ellipsis" vert="horz" wrap="square" anchor="ctr" anchorCtr="1"/>
          <a:lstStyle/>
          <a:p>
            <a:pPr>
              <a:defRPr lang="zh-CN" sz="1800" b="0" i="0" u="none" strike="noStrike" kern="1200" baseline="0">
                <a:solidFill>
                  <a:schemeClr val="tx1"/>
                </a:solidFill>
                <a:latin typeface="+mn-lt"/>
                <a:ea typeface="+mn-ea"/>
                <a:cs typeface="+mn-cs"/>
              </a:defRPr>
            </a:pPr>
            <a:r>
              <a:rPr lang="zh-CN" altLang="en-US" b="0"/>
              <a:t>支出占比图</a:t>
            </a:r>
            <a:endParaRPr lang="zh-CN" altLang="en-US" b="0"/>
          </a:p>
        </c:rich>
      </c:tx>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Sheet1!$A$16:$A$20</c:f>
              <c:strCache>
                <c:ptCount val="5"/>
                <c:pt idx="0">
                  <c:v>基本支出</c:v>
                </c:pt>
                <c:pt idx="1">
                  <c:v>项目支出</c:v>
                </c:pt>
                <c:pt idx="2">
                  <c:v>上缴上级支出</c:v>
                </c:pt>
                <c:pt idx="3">
                  <c:v>经营支出</c:v>
                </c:pt>
                <c:pt idx="4">
                  <c:v>对附属单位补助支出</c:v>
                </c:pt>
              </c:strCache>
            </c:strRef>
          </c:cat>
          <c:val>
            <c:numRef>
              <c:f>Sheet1!$B$16:$B$20</c:f>
              <c:numCache>
                <c:formatCode>General</c:formatCode>
                <c:ptCount val="5"/>
                <c:pt idx="0">
                  <c:v>1166.7</c:v>
                </c:pt>
                <c:pt idx="1">
                  <c:v>379.15</c:v>
                </c:pt>
                <c:pt idx="2">
                  <c:v>0</c:v>
                </c:pt>
                <c:pt idx="3">
                  <c:v>0</c:v>
                </c:pt>
                <c:pt idx="4">
                  <c:v>0</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0" i="0" u="none" strike="noStrike" kern="1200" baseline="0">
                <a:solidFill>
                  <a:schemeClr val="tx1"/>
                </a:solidFill>
                <a:latin typeface="+mn-lt"/>
                <a:ea typeface="+mn-ea"/>
                <a:cs typeface="+mn-cs"/>
              </a:defRPr>
            </a:pPr>
            <a:r>
              <a:rPr lang="zh-CN" altLang="en-US" b="0"/>
              <a:t>收支总计</a:t>
            </a:r>
            <a:endParaRPr lang="zh-CN" altLang="en-US" b="0"/>
          </a:p>
        </c:rich>
      </c:tx>
      <c:layout/>
      <c:overlay val="0"/>
    </c:title>
    <c:autoTitleDeleted val="0"/>
    <c:plotArea>
      <c:layout/>
      <c:barChart>
        <c:barDir val="col"/>
        <c:grouping val="clustered"/>
        <c:varyColors val="0"/>
        <c:ser>
          <c:idx val="0"/>
          <c:order val="0"/>
          <c:invertIfNegative val="0"/>
          <c:dLbls>
            <c:delete val="1"/>
          </c:dLbls>
          <c:cat>
            <c:strRef>
              <c:f>Sheet1!$A$24:$A$25</c:f>
              <c:strCache>
                <c:ptCount val="2"/>
                <c:pt idx="0">
                  <c:v>2017年</c:v>
                </c:pt>
                <c:pt idx="1">
                  <c:v>2018年</c:v>
                </c:pt>
              </c:strCache>
            </c:strRef>
          </c:cat>
          <c:val>
            <c:numRef>
              <c:f>Sheet1!$B$24:$B$25</c:f>
              <c:numCache>
                <c:formatCode>General</c:formatCode>
                <c:ptCount val="2"/>
                <c:pt idx="0">
                  <c:v>1347.08</c:v>
                </c:pt>
                <c:pt idx="1">
                  <c:v>1436.45</c:v>
                </c:pt>
              </c:numCache>
            </c:numRef>
          </c:val>
        </c:ser>
        <c:dLbls>
          <c:showLegendKey val="0"/>
          <c:showVal val="0"/>
          <c:showCatName val="0"/>
          <c:showSerName val="0"/>
          <c:showPercent val="0"/>
          <c:showBubbleSize val="0"/>
        </c:dLbls>
        <c:gapWidth val="150"/>
        <c:axId val="176762240"/>
        <c:axId val="42308352"/>
      </c:barChart>
      <c:catAx>
        <c:axId val="17676224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308352"/>
        <c:crosses val="autoZero"/>
        <c:auto val="1"/>
        <c:lblAlgn val="ctr"/>
        <c:lblOffset val="100"/>
        <c:noMultiLvlLbl val="0"/>
      </c:catAx>
      <c:valAx>
        <c:axId val="42308352"/>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676224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0" i="0" u="none" strike="noStrike" kern="1200" baseline="0">
                <a:solidFill>
                  <a:schemeClr val="tx1"/>
                </a:solidFill>
                <a:latin typeface="+mn-lt"/>
                <a:ea typeface="+mn-ea"/>
                <a:cs typeface="+mn-cs"/>
              </a:defRPr>
            </a:pPr>
            <a:r>
              <a:rPr lang="zh-CN" altLang="en-US" b="0"/>
              <a:t>一般公共预算财政</a:t>
            </a:r>
            <a:r>
              <a:rPr lang="zh-CN" altLang="en-US" b="0"/>
              <a:t>拨款支出</a:t>
            </a:r>
            <a:endParaRPr lang="zh-CN" altLang="en-US" b="0"/>
          </a:p>
        </c:rich>
      </c:tx>
      <c:layout/>
      <c:overlay val="0"/>
    </c:title>
    <c:autoTitleDeleted val="0"/>
    <c:plotArea>
      <c:layout/>
      <c:barChart>
        <c:barDir val="col"/>
        <c:grouping val="stacked"/>
        <c:varyColors val="0"/>
        <c:ser>
          <c:idx val="0"/>
          <c:order val="0"/>
          <c:invertIfNegative val="0"/>
          <c:dLbls>
            <c:delete val="1"/>
          </c:dLbls>
          <c:cat>
            <c:strRef>
              <c:f>Sheet1!$A$24:$A$25</c:f>
              <c:strCache>
                <c:ptCount val="2"/>
                <c:pt idx="0">
                  <c:v>2017年</c:v>
                </c:pt>
                <c:pt idx="1">
                  <c:v>2018年</c:v>
                </c:pt>
              </c:strCache>
            </c:strRef>
          </c:cat>
          <c:val>
            <c:numRef>
              <c:f>Sheet1!$B$24:$B$25</c:f>
              <c:numCache>
                <c:formatCode>General</c:formatCode>
                <c:ptCount val="2"/>
                <c:pt idx="0">
                  <c:v>1347.08</c:v>
                </c:pt>
                <c:pt idx="1">
                  <c:v>1436.45</c:v>
                </c:pt>
              </c:numCache>
            </c:numRef>
          </c:val>
        </c:ser>
        <c:dLbls>
          <c:showLegendKey val="0"/>
          <c:showVal val="0"/>
          <c:showCatName val="0"/>
          <c:showSerName val="0"/>
          <c:showPercent val="0"/>
          <c:showBubbleSize val="0"/>
        </c:dLbls>
        <c:gapWidth val="55"/>
        <c:overlap val="100"/>
        <c:axId val="42328064"/>
        <c:axId val="42329600"/>
      </c:barChart>
      <c:catAx>
        <c:axId val="4232806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329600"/>
        <c:crosses val="autoZero"/>
        <c:auto val="1"/>
        <c:lblAlgn val="ctr"/>
        <c:lblOffset val="100"/>
        <c:noMultiLvlLbl val="0"/>
      </c:catAx>
      <c:valAx>
        <c:axId val="42329600"/>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32806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rot="0" spcFirstLastPara="0" vertOverflow="ellipsis" vert="horz" wrap="square" anchor="ctr" anchorCtr="1"/>
          <a:lstStyle/>
          <a:p>
            <a:pPr>
              <a:defRPr lang="zh-CN" sz="1800" b="0" i="0" u="none" strike="noStrike" kern="1200" baseline="0">
                <a:solidFill>
                  <a:schemeClr val="tx1"/>
                </a:solidFill>
                <a:latin typeface="+mn-lt"/>
                <a:ea typeface="+mn-ea"/>
                <a:cs typeface="+mn-cs"/>
              </a:defRPr>
            </a:pPr>
            <a:r>
              <a:rPr lang="zh-CN" altLang="en-US" b="0"/>
              <a:t>一般公共预算财政</a:t>
            </a:r>
            <a:r>
              <a:rPr lang="zh-CN" altLang="en-US" b="0"/>
              <a:t>拨款支出决算结构</a:t>
            </a:r>
            <a:endParaRPr lang="zh-CN" altLang="en-US" b="0"/>
          </a:p>
        </c:rich>
      </c:tx>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Sheet1!$A$47:$A$52</c:f>
              <c:strCache>
                <c:ptCount val="6"/>
                <c:pt idx="0">
                  <c:v>一般公共服务（类）支出</c:v>
                </c:pt>
                <c:pt idx="1">
                  <c:v>教育支出</c:v>
                </c:pt>
                <c:pt idx="2">
                  <c:v>科学技术（类）支出</c:v>
                </c:pt>
                <c:pt idx="3">
                  <c:v>社会保障和就业（类）支出</c:v>
                </c:pt>
                <c:pt idx="4">
                  <c:v>医疗卫生支出</c:v>
                </c:pt>
                <c:pt idx="5">
                  <c:v>住房保障支出</c:v>
                </c:pt>
              </c:strCache>
            </c:strRef>
          </c:cat>
          <c:val>
            <c:numRef>
              <c:f>Sheet1!$B$47:$B$52</c:f>
              <c:numCache>
                <c:formatCode>General</c:formatCode>
                <c:ptCount val="6"/>
                <c:pt idx="0">
                  <c:v>1436.45</c:v>
                </c:pt>
                <c:pt idx="3">
                  <c:v>98.35</c:v>
                </c:pt>
                <c:pt idx="4">
                  <c:v>28.22</c:v>
                </c:pt>
                <c:pt idx="5">
                  <c:v>46.17</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b="0"/>
              <a:t>“三公”经费</a:t>
            </a:r>
            <a:r>
              <a:rPr lang="zh-CN" altLang="en-US" b="0"/>
              <a:t>拨款支出结构</a:t>
            </a:r>
            <a:endParaRPr lang="zh-CN" b="0"/>
          </a:p>
        </c:rich>
      </c:tx>
      <c:layout/>
      <c:overlay val="0"/>
    </c:title>
    <c:autoTitleDeleted val="0"/>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Sheet1!$A$37:$A$39</c:f>
              <c:strCache>
                <c:ptCount val="3"/>
                <c:pt idx="0">
                  <c:v>公出国（境）费支出</c:v>
                </c:pt>
                <c:pt idx="1">
                  <c:v>公务用车购置及运行维护费支出</c:v>
                </c:pt>
                <c:pt idx="2">
                  <c:v>公务接待费支出</c:v>
                </c:pt>
              </c:strCache>
            </c:strRef>
          </c:cat>
          <c:val>
            <c:numRef>
              <c:f>Sheet1!$B$37:$B$39</c:f>
              <c:numCache>
                <c:formatCode>General</c:formatCode>
                <c:ptCount val="3"/>
                <c:pt idx="0">
                  <c:v>0</c:v>
                </c:pt>
                <c:pt idx="1">
                  <c:v>59.78</c:v>
                </c:pt>
                <c:pt idx="2">
                  <c:v>8</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AE715-F882-4A6E-95D6-C2CEFA74066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9510</Words>
  <Characters>10154</Characters>
  <Lines>82</Lines>
  <Paragraphs>23</Paragraphs>
  <TotalTime>9</TotalTime>
  <ScaleCrop>false</ScaleCrop>
  <LinksUpToDate>false</LinksUpToDate>
  <CharactersWithSpaces>10229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2019-09-18T08:59:00Z</dcterms:created>
  <dc:creator>Microsoft</dc:creator>
  <cp:lastModifiedBy>昭化融媒体</cp:lastModifiedBy>
  <cp:lastPrinted>2019-09-22T02:22:00Z</cp:lastPrinted>
  <dcterms:modified xsi:type="dcterms:W3CDTF">2024-07-31T04:11:30Z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499CD40B91764E8E85444C55DEFF4C32</vt:lpwstr>
  </property>
</Properties>
</file>